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4431A">
      <w:pPr>
        <w:widowControl/>
        <w:spacing w:line="300" w:lineRule="atLeast"/>
        <w:jc w:val="left"/>
        <w:rPr>
          <w:rFonts w:ascii="宋体" w:hAnsi="宋体" w:eastAsia="宋体" w:cs="宋体"/>
          <w:color w:val="auto"/>
          <w:kern w:val="0"/>
          <w:sz w:val="24"/>
          <w:szCs w:val="24"/>
          <w:highlight w:val="none"/>
        </w:rPr>
      </w:pPr>
    </w:p>
    <w:p w14:paraId="13545266">
      <w:pPr>
        <w:pStyle w:val="51"/>
        <w:rPr>
          <w:color w:val="auto"/>
          <w:highlight w:val="none"/>
        </w:rPr>
      </w:pPr>
    </w:p>
    <w:p w14:paraId="7B9333A9">
      <w:pPr>
        <w:rPr>
          <w:rFonts w:ascii="宋体" w:hAnsi="宋体" w:eastAsia="宋体" w:cs="宋体"/>
          <w:color w:val="auto"/>
          <w:highlight w:val="none"/>
        </w:rPr>
      </w:pPr>
      <w:bookmarkStart w:id="0" w:name="EBce946293528d42149d6ec34d99d11ef5"/>
      <w:r>
        <w:rPr>
          <w:rFonts w:hint="eastAsia" w:ascii="宋体" w:hAnsi="宋体" w:eastAsia="宋体" w:cs="宋体"/>
          <w:color w:val="auto"/>
          <w:sz w:val="20"/>
          <w:highlight w:val="none"/>
        </w:rPr>
        <w:t xml:space="preserve"> </w:t>
      </w:r>
      <w:bookmarkEnd w:id="0"/>
      <w:bookmarkStart w:id="1" w:name="_Toc309586341"/>
      <w:bookmarkStart w:id="2" w:name="_Toc19442"/>
      <w:bookmarkStart w:id="3" w:name="_Toc367"/>
      <w:bookmarkStart w:id="4" w:name="_Toc288656291"/>
      <w:bookmarkStart w:id="5" w:name="_Toc15129"/>
      <w:bookmarkStart w:id="6" w:name="_Toc5819"/>
    </w:p>
    <w:p w14:paraId="7D5CE3AA">
      <w:pPr>
        <w:spacing w:before="156" w:after="156"/>
        <w:jc w:val="center"/>
        <w:rPr>
          <w:rFonts w:hint="eastAsia" w:ascii="宋体" w:hAnsi="宋体" w:eastAsia="宋体" w:cs="宋体"/>
          <w:b/>
          <w:color w:val="auto"/>
          <w:sz w:val="44"/>
          <w:szCs w:val="32"/>
          <w:highlight w:val="none"/>
        </w:rPr>
      </w:pPr>
      <w:r>
        <w:rPr>
          <w:rFonts w:hint="eastAsia" w:ascii="宋体" w:hAnsi="宋体" w:eastAsia="宋体" w:cs="宋体"/>
          <w:b/>
          <w:color w:val="auto"/>
          <w:sz w:val="44"/>
          <w:szCs w:val="32"/>
          <w:highlight w:val="none"/>
        </w:rPr>
        <w:t>三峰靖江港务物流有限责任公司</w:t>
      </w:r>
      <w:r>
        <w:rPr>
          <w:rFonts w:hint="eastAsia" w:ascii="宋体" w:hAnsi="宋体" w:eastAsia="宋体" w:cs="宋体"/>
          <w:b/>
          <w:color w:val="auto"/>
          <w:sz w:val="44"/>
          <w:szCs w:val="32"/>
          <w:highlight w:val="none"/>
          <w:lang w:val="en-US" w:eastAsia="zh-CN"/>
        </w:rPr>
        <w:t xml:space="preserve">        </w:t>
      </w:r>
      <w:r>
        <w:rPr>
          <w:rFonts w:hint="eastAsia" w:ascii="宋体" w:hAnsi="宋体" w:eastAsia="宋体" w:cs="宋体"/>
          <w:b/>
          <w:color w:val="auto"/>
          <w:sz w:val="44"/>
          <w:szCs w:val="32"/>
          <w:highlight w:val="none"/>
        </w:rPr>
        <w:t>封闭式料仓设计</w:t>
      </w:r>
    </w:p>
    <w:p w14:paraId="55A942F5">
      <w:pPr>
        <w:spacing w:before="156" w:after="156"/>
        <w:jc w:val="center"/>
        <w:rPr>
          <w:rFonts w:ascii="宋体" w:hAnsi="宋体" w:eastAsia="宋体" w:cs="宋体"/>
          <w:b/>
          <w:color w:val="auto"/>
          <w:sz w:val="32"/>
          <w:szCs w:val="32"/>
          <w:highlight w:val="none"/>
        </w:rPr>
      </w:pPr>
      <w:r>
        <w:rPr>
          <w:rFonts w:hint="eastAsia" w:ascii="宋体" w:hAnsi="宋体" w:eastAsia="宋体" w:cs="宋体"/>
          <w:b/>
          <w:color w:val="auto"/>
          <w:sz w:val="44"/>
          <w:szCs w:val="32"/>
          <w:highlight w:val="none"/>
        </w:rPr>
        <w:t>招 标 文 件</w:t>
      </w:r>
      <w:r>
        <w:rPr>
          <w:rFonts w:hint="eastAsia" w:ascii="宋体" w:hAnsi="宋体" w:eastAsia="宋体" w:cs="宋体"/>
          <w:b/>
          <w:color w:val="auto"/>
          <w:sz w:val="32"/>
          <w:szCs w:val="32"/>
          <w:highlight w:val="none"/>
        </w:rPr>
        <w:t xml:space="preserve">  </w:t>
      </w:r>
    </w:p>
    <w:p w14:paraId="0765FC7C">
      <w:pPr>
        <w:spacing w:line="400" w:lineRule="exact"/>
        <w:rPr>
          <w:rFonts w:ascii="宋体" w:hAnsi="宋体" w:eastAsia="宋体" w:cs="宋体"/>
          <w:color w:val="auto"/>
          <w:sz w:val="32"/>
          <w:szCs w:val="32"/>
          <w:highlight w:val="none"/>
        </w:rPr>
      </w:pPr>
    </w:p>
    <w:p w14:paraId="4E164608">
      <w:pPr>
        <w:spacing w:line="400" w:lineRule="exact"/>
        <w:rPr>
          <w:rFonts w:ascii="宋体" w:hAnsi="宋体" w:eastAsia="宋体" w:cs="宋体"/>
          <w:color w:val="auto"/>
          <w:sz w:val="32"/>
          <w:szCs w:val="32"/>
          <w:highlight w:val="none"/>
        </w:rPr>
      </w:pPr>
    </w:p>
    <w:p w14:paraId="3DABCBE3">
      <w:pPr>
        <w:spacing w:line="400" w:lineRule="exact"/>
        <w:rPr>
          <w:rFonts w:ascii="宋体" w:hAnsi="宋体" w:eastAsia="宋体" w:cs="宋体"/>
          <w:color w:val="auto"/>
          <w:sz w:val="32"/>
          <w:szCs w:val="32"/>
          <w:highlight w:val="none"/>
        </w:rPr>
      </w:pPr>
    </w:p>
    <w:p w14:paraId="2AFFBBEB">
      <w:pPr>
        <w:pStyle w:val="2"/>
        <w:ind w:firstLine="640"/>
        <w:rPr>
          <w:rFonts w:ascii="宋体" w:hAnsi="宋体" w:eastAsia="宋体" w:cs="宋体"/>
          <w:color w:val="auto"/>
          <w:sz w:val="32"/>
          <w:szCs w:val="32"/>
          <w:highlight w:val="none"/>
        </w:rPr>
      </w:pPr>
    </w:p>
    <w:p w14:paraId="5E1EEABE">
      <w:pPr>
        <w:pStyle w:val="2"/>
        <w:ind w:firstLine="640"/>
        <w:rPr>
          <w:rFonts w:ascii="宋体" w:hAnsi="宋体" w:eastAsia="宋体" w:cs="宋体"/>
          <w:color w:val="auto"/>
          <w:sz w:val="32"/>
          <w:szCs w:val="32"/>
          <w:highlight w:val="none"/>
        </w:rPr>
      </w:pPr>
      <w:bookmarkStart w:id="303" w:name="_GoBack"/>
      <w:bookmarkEnd w:id="303"/>
    </w:p>
    <w:p w14:paraId="35BAE763">
      <w:pPr>
        <w:pStyle w:val="2"/>
        <w:ind w:firstLine="640"/>
        <w:rPr>
          <w:rFonts w:ascii="宋体" w:hAnsi="宋体" w:eastAsia="宋体" w:cs="宋体"/>
          <w:color w:val="auto"/>
          <w:sz w:val="32"/>
          <w:szCs w:val="32"/>
          <w:highlight w:val="none"/>
        </w:rPr>
      </w:pPr>
    </w:p>
    <w:p w14:paraId="4B6A95B8">
      <w:pPr>
        <w:spacing w:line="400" w:lineRule="exact"/>
        <w:rPr>
          <w:rFonts w:ascii="宋体" w:hAnsi="宋体" w:eastAsia="宋体" w:cs="宋体"/>
          <w:color w:val="auto"/>
          <w:sz w:val="32"/>
          <w:szCs w:val="32"/>
          <w:highlight w:val="none"/>
        </w:rPr>
      </w:pPr>
    </w:p>
    <w:p w14:paraId="25921EB8">
      <w:pPr>
        <w:spacing w:line="400" w:lineRule="exact"/>
        <w:rPr>
          <w:rFonts w:ascii="宋体" w:hAnsi="宋体" w:eastAsia="宋体" w:cs="宋体"/>
          <w:color w:val="auto"/>
          <w:sz w:val="32"/>
          <w:szCs w:val="32"/>
          <w:highlight w:val="none"/>
        </w:rPr>
      </w:pPr>
    </w:p>
    <w:p w14:paraId="012F683B">
      <w:pPr>
        <w:spacing w:before="156" w:after="156"/>
        <w:jc w:val="center"/>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28"/>
          <w:szCs w:val="28"/>
          <w:highlight w:val="none"/>
          <w:u w:val="single"/>
        </w:rPr>
        <w:t>三峰靖江港务物流有限责任公司封闭式料仓设计</w:t>
      </w:r>
    </w:p>
    <w:p w14:paraId="0D059667">
      <w:pPr>
        <w:pStyle w:val="2"/>
        <w:ind w:firstLine="420"/>
        <w:rPr>
          <w:b/>
          <w:bCs/>
          <w:color w:val="auto"/>
          <w:highlight w:val="none"/>
          <w:lang w:val="en-US"/>
        </w:rPr>
      </w:pPr>
    </w:p>
    <w:p w14:paraId="2C2EC1DE">
      <w:pPr>
        <w:spacing w:before="156" w:after="156" w:line="480" w:lineRule="auto"/>
        <w:ind w:firstLine="964" w:firstLineChars="300"/>
        <w:jc w:val="left"/>
        <w:rPr>
          <w:rFonts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招标人：</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rPr>
        <w:t xml:space="preserve">三峰靖江港务物流有限责任公司   </w:t>
      </w:r>
    </w:p>
    <w:p w14:paraId="242DE1DE">
      <w:pPr>
        <w:pStyle w:val="2"/>
        <w:ind w:firstLine="420"/>
        <w:rPr>
          <w:b/>
          <w:bCs/>
          <w:color w:val="auto"/>
          <w:highlight w:val="none"/>
          <w:lang w:val="en-US"/>
        </w:rPr>
      </w:pPr>
    </w:p>
    <w:p w14:paraId="6E2D687B">
      <w:pPr>
        <w:spacing w:before="156" w:after="156" w:line="480" w:lineRule="auto"/>
        <w:ind w:firstLine="964" w:firstLineChars="300"/>
        <w:jc w:val="left"/>
        <w:rPr>
          <w:rFonts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招标代理机构：</w:t>
      </w:r>
      <w:r>
        <w:rPr>
          <w:rFonts w:hint="eastAsia" w:ascii="宋体" w:hAnsi="宋体" w:eastAsia="宋体" w:cs="宋体"/>
          <w:b/>
          <w:bCs/>
          <w:color w:val="auto"/>
          <w:sz w:val="32"/>
          <w:szCs w:val="32"/>
          <w:highlight w:val="none"/>
          <w:u w:val="single"/>
          <w:lang w:val="en-US" w:eastAsia="zh-CN"/>
        </w:rPr>
        <w:t>江苏国兴建设项目管理</w:t>
      </w:r>
      <w:r>
        <w:rPr>
          <w:rFonts w:hint="eastAsia" w:ascii="宋体" w:hAnsi="宋体" w:eastAsia="宋体" w:cs="宋体"/>
          <w:b/>
          <w:bCs/>
          <w:color w:val="auto"/>
          <w:sz w:val="32"/>
          <w:szCs w:val="32"/>
          <w:highlight w:val="none"/>
          <w:u w:val="single"/>
        </w:rPr>
        <w:t>有限公司</w:t>
      </w:r>
    </w:p>
    <w:p w14:paraId="13E8A7C7">
      <w:pPr>
        <w:pStyle w:val="2"/>
        <w:ind w:firstLine="420"/>
        <w:rPr>
          <w:b/>
          <w:bCs/>
          <w:color w:val="auto"/>
          <w:highlight w:val="none"/>
          <w:lang w:val="en-US"/>
        </w:rPr>
      </w:pPr>
    </w:p>
    <w:p w14:paraId="206C02BA">
      <w:pPr>
        <w:pStyle w:val="2"/>
        <w:ind w:firstLine="420"/>
        <w:rPr>
          <w:b/>
          <w:bCs/>
          <w:color w:val="auto"/>
          <w:highlight w:val="none"/>
          <w:lang w:val="en-US"/>
        </w:rPr>
      </w:pPr>
    </w:p>
    <w:p w14:paraId="02E41D10">
      <w:pPr>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w:t>
      </w:r>
      <w:bookmarkStart w:id="7" w:name="EB4825fb139a1c48e08dcb2e4c347bf6e0"/>
      <w:bookmarkEnd w:id="7"/>
      <w:bookmarkStart w:id="8" w:name="EB3905e512b92140619239787b9df87a9d"/>
      <w:bookmarkEnd w:id="8"/>
      <w:r>
        <w:rPr>
          <w:rFonts w:hint="eastAsia" w:ascii="宋体" w:hAnsi="宋体" w:eastAsia="宋体" w:cs="宋体"/>
          <w:b/>
          <w:bCs/>
          <w:color w:val="auto"/>
          <w:sz w:val="32"/>
          <w:szCs w:val="32"/>
          <w:highlight w:val="none"/>
        </w:rPr>
        <w:t>202</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12</w:t>
      </w:r>
      <w:r>
        <w:rPr>
          <w:rFonts w:hint="eastAsia" w:ascii="宋体" w:hAnsi="宋体" w:eastAsia="宋体" w:cs="宋体"/>
          <w:b/>
          <w:bCs/>
          <w:color w:val="auto"/>
          <w:sz w:val="32"/>
          <w:szCs w:val="32"/>
          <w:highlight w:val="none"/>
        </w:rPr>
        <w:t>月</w:t>
      </w:r>
    </w:p>
    <w:bookmarkEnd w:id="1"/>
    <w:bookmarkEnd w:id="2"/>
    <w:bookmarkEnd w:id="3"/>
    <w:bookmarkEnd w:id="4"/>
    <w:bookmarkEnd w:id="5"/>
    <w:bookmarkEnd w:id="6"/>
    <w:p w14:paraId="26D1BC7E">
      <w:pPr>
        <w:pStyle w:val="14"/>
        <w:spacing w:line="440" w:lineRule="exact"/>
        <w:ind w:firstLine="0" w:firstLineChars="0"/>
        <w:jc w:val="center"/>
        <w:rPr>
          <w:rFonts w:ascii="宋体" w:hAnsi="宋体" w:eastAsia="宋体" w:cs="宋体"/>
          <w:b/>
          <w:color w:val="auto"/>
          <w:sz w:val="36"/>
          <w:szCs w:val="36"/>
          <w:highlight w:val="none"/>
        </w:rPr>
      </w:pPr>
      <w:bookmarkStart w:id="9" w:name="_Toc275703040"/>
    </w:p>
    <w:p w14:paraId="4A6FD388">
      <w:pPr>
        <w:pStyle w:val="14"/>
        <w:spacing w:line="440" w:lineRule="exact"/>
        <w:ind w:firstLine="0" w:firstLineChars="0"/>
        <w:jc w:val="center"/>
        <w:rPr>
          <w:rFonts w:ascii="宋体" w:hAnsi="宋体" w:eastAsia="宋体" w:cs="宋体"/>
          <w:b/>
          <w:color w:val="auto"/>
          <w:sz w:val="36"/>
          <w:szCs w:val="36"/>
          <w:highlight w:val="none"/>
        </w:rPr>
      </w:pPr>
    </w:p>
    <w:p w14:paraId="6E5F730F">
      <w:pPr>
        <w:pStyle w:val="14"/>
        <w:spacing w:line="440" w:lineRule="exact"/>
        <w:ind w:firstLine="0" w:firstLineChars="0"/>
        <w:jc w:val="center"/>
        <w:rPr>
          <w:rFonts w:ascii="宋体" w:hAnsi="宋体" w:eastAsia="宋体" w:cs="宋体"/>
          <w:b/>
          <w:color w:val="auto"/>
          <w:sz w:val="36"/>
          <w:szCs w:val="36"/>
          <w:highlight w:val="none"/>
        </w:rPr>
      </w:pPr>
    </w:p>
    <w:p w14:paraId="39AF0F9A">
      <w:pPr>
        <w:pStyle w:val="14"/>
        <w:spacing w:line="440" w:lineRule="exact"/>
        <w:ind w:firstLine="0" w:firstLineChars="0"/>
        <w:jc w:val="center"/>
        <w:rPr>
          <w:rFonts w:ascii="宋体" w:hAnsi="宋体" w:eastAsia="宋体" w:cs="宋体"/>
          <w:b/>
          <w:color w:val="auto"/>
          <w:sz w:val="36"/>
          <w:szCs w:val="36"/>
          <w:highlight w:val="none"/>
        </w:rPr>
      </w:pPr>
    </w:p>
    <w:p w14:paraId="5411A3FD">
      <w:pPr>
        <w:pStyle w:val="14"/>
        <w:spacing w:line="440" w:lineRule="exact"/>
        <w:ind w:firstLine="0" w:firstLineChars="0"/>
        <w:jc w:val="center"/>
        <w:rPr>
          <w:rFonts w:ascii="宋体" w:hAnsi="宋体" w:eastAsia="宋体" w:cs="宋体"/>
          <w:b/>
          <w:color w:val="auto"/>
          <w:sz w:val="36"/>
          <w:szCs w:val="36"/>
          <w:highlight w:val="none"/>
        </w:rPr>
      </w:pPr>
    </w:p>
    <w:p w14:paraId="5567BD79">
      <w:pPr>
        <w:rPr>
          <w:rFonts w:ascii="宋体" w:hAnsi="宋体" w:eastAsia="宋体" w:cs="宋体"/>
          <w:b/>
          <w:color w:val="auto"/>
          <w:sz w:val="36"/>
          <w:szCs w:val="36"/>
          <w:highlight w:val="none"/>
        </w:rPr>
      </w:pPr>
    </w:p>
    <w:bookmarkEnd w:id="9"/>
    <w:p w14:paraId="2B2ABAB8">
      <w:pPr>
        <w:pStyle w:val="14"/>
        <w:spacing w:line="440" w:lineRule="exact"/>
        <w:ind w:firstLine="0" w:firstLineChars="0"/>
        <w:jc w:val="center"/>
        <w:rPr>
          <w:rFonts w:ascii="宋体" w:hAnsi="宋体" w:eastAsia="宋体" w:cs="宋体"/>
          <w:b/>
          <w:color w:val="auto"/>
          <w:sz w:val="32"/>
          <w:highlight w:val="none"/>
        </w:rPr>
      </w:pPr>
      <w:bookmarkStart w:id="10" w:name="_Toc456684184"/>
      <w:bookmarkStart w:id="11" w:name="_Toc275703020"/>
      <w:bookmarkStart w:id="12" w:name="_Toc19567"/>
      <w:bookmarkStart w:id="13" w:name="_Toc29953"/>
      <w:bookmarkStart w:id="14" w:name="_Toc494527197"/>
    </w:p>
    <w:p w14:paraId="6496AC1A">
      <w:pPr>
        <w:pStyle w:val="14"/>
        <w:spacing w:line="440" w:lineRule="exact"/>
        <w:ind w:firstLine="0" w:firstLineChars="0"/>
        <w:jc w:val="center"/>
        <w:rPr>
          <w:rFonts w:ascii="宋体" w:hAnsi="宋体" w:eastAsia="宋体" w:cs="宋体"/>
          <w:b/>
          <w:color w:val="auto"/>
          <w:sz w:val="32"/>
          <w:highlight w:val="none"/>
        </w:rPr>
      </w:pPr>
    </w:p>
    <w:p w14:paraId="72382378">
      <w:pPr>
        <w:pStyle w:val="14"/>
        <w:spacing w:line="440" w:lineRule="exact"/>
        <w:ind w:firstLine="0" w:firstLineChars="0"/>
        <w:jc w:val="center"/>
        <w:rPr>
          <w:rFonts w:ascii="宋体" w:hAnsi="宋体" w:eastAsia="宋体" w:cs="宋体"/>
          <w:b/>
          <w:color w:val="auto"/>
          <w:sz w:val="32"/>
          <w:highlight w:val="none"/>
        </w:rPr>
      </w:pPr>
      <w:r>
        <w:rPr>
          <w:rFonts w:hint="eastAsia" w:ascii="宋体" w:hAnsi="宋体" w:eastAsia="宋体" w:cs="宋体"/>
          <w:b/>
          <w:color w:val="auto"/>
          <w:sz w:val="32"/>
          <w:highlight w:val="none"/>
        </w:rPr>
        <w:t>目 录</w:t>
      </w:r>
    </w:p>
    <w:p w14:paraId="24624470">
      <w:pPr>
        <w:pStyle w:val="37"/>
        <w:tabs>
          <w:tab w:val="right" w:leader="dot" w:pos="9185"/>
        </w:tabs>
        <w:rPr>
          <w:rFonts w:hint="eastAsia" w:eastAsia="宋体"/>
          <w:color w:val="auto"/>
          <w:highlight w:val="none"/>
          <w:lang w:val="en-US" w:eastAsia="zh-CN"/>
        </w:rPr>
      </w:pPr>
      <w:bookmarkStart w:id="15" w:name="_Toc152045514"/>
      <w:bookmarkStart w:id="16" w:name="_Toc179632544"/>
      <w:bookmarkStart w:id="17" w:name="_Toc152045527"/>
      <w:bookmarkStart w:id="18" w:name="_Toc456684182"/>
      <w:bookmarkStart w:id="19" w:name="EB992724f1575845a4b690bda850fb10e8"/>
      <w:bookmarkStart w:id="20" w:name="_Toc179632530"/>
      <w:bookmarkStart w:id="21" w:name="_Toc152042303"/>
      <w:bookmarkStart w:id="22" w:name="_Toc144974482"/>
      <w:bookmarkStart w:id="23" w:name="_Toc152042290"/>
      <w:bookmarkStart w:id="24" w:name="_Toc275703019"/>
      <w:bookmarkStart w:id="25" w:name="_Toc144974495"/>
      <w:r>
        <w:rPr>
          <w:rFonts w:hint="eastAsia" w:ascii="宋体" w:hAnsi="宋体" w:cs="宋体"/>
          <w:b w:val="0"/>
          <w:color w:val="auto"/>
          <w:sz w:val="28"/>
          <w:szCs w:val="28"/>
          <w:highlight w:val="none"/>
        </w:rPr>
        <w:fldChar w:fldCharType="begin"/>
      </w:r>
      <w:r>
        <w:rPr>
          <w:rFonts w:hint="eastAsia" w:ascii="宋体" w:hAnsi="宋体" w:cs="宋体"/>
          <w:b w:val="0"/>
          <w:color w:val="auto"/>
          <w:sz w:val="28"/>
          <w:szCs w:val="28"/>
          <w:highlight w:val="none"/>
        </w:rPr>
        <w:instrText xml:space="preserve">TOC \o "1-1" \h \u </w:instrText>
      </w:r>
      <w:r>
        <w:rPr>
          <w:rFonts w:hint="eastAsia" w:ascii="宋体" w:hAnsi="宋体" w:cs="宋体"/>
          <w:b w:val="0"/>
          <w:color w:val="auto"/>
          <w:sz w:val="28"/>
          <w:szCs w:val="28"/>
          <w:highlight w:val="none"/>
        </w:rPr>
        <w:fldChar w:fldCharType="separate"/>
      </w:r>
      <w:r>
        <w:rPr>
          <w:color w:val="auto"/>
          <w:highlight w:val="none"/>
        </w:rPr>
        <w:fldChar w:fldCharType="begin"/>
      </w:r>
      <w:r>
        <w:rPr>
          <w:color w:val="auto"/>
          <w:highlight w:val="none"/>
        </w:rPr>
        <w:instrText xml:space="preserve"> HYPERLINK \l "_Toc32592" </w:instrText>
      </w:r>
      <w:r>
        <w:rPr>
          <w:color w:val="auto"/>
          <w:highlight w:val="none"/>
        </w:rPr>
        <w:fldChar w:fldCharType="separate"/>
      </w:r>
      <w:r>
        <w:rPr>
          <w:rFonts w:hint="eastAsia" w:ascii="宋体" w:hAnsi="宋体" w:cs="宋体"/>
          <w:bCs w:val="0"/>
          <w:color w:val="auto"/>
          <w:szCs w:val="36"/>
          <w:highlight w:val="none"/>
        </w:rPr>
        <w:t>第一章 招标公告</w:t>
      </w:r>
      <w:r>
        <w:rPr>
          <w:color w:val="auto"/>
          <w:highlight w:val="none"/>
        </w:rPr>
        <w:tab/>
      </w:r>
      <w:r>
        <w:rPr>
          <w:color w:val="auto"/>
          <w:highlight w:val="none"/>
        </w:rPr>
        <w:fldChar w:fldCharType="end"/>
      </w:r>
      <w:r>
        <w:rPr>
          <w:rFonts w:hint="eastAsia"/>
          <w:color w:val="auto"/>
          <w:highlight w:val="none"/>
          <w:lang w:val="en-US" w:eastAsia="zh-CN"/>
        </w:rPr>
        <w:t>3</w:t>
      </w:r>
    </w:p>
    <w:p w14:paraId="223DF302">
      <w:pPr>
        <w:pStyle w:val="37"/>
        <w:tabs>
          <w:tab w:val="right" w:leader="dot" w:pos="9185"/>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"_Toc31332" </w:instrText>
      </w:r>
      <w:r>
        <w:rPr>
          <w:color w:val="auto"/>
          <w:highlight w:val="none"/>
        </w:rPr>
        <w:fldChar w:fldCharType="separate"/>
      </w:r>
      <w:r>
        <w:rPr>
          <w:rFonts w:hint="eastAsia" w:ascii="宋体" w:hAnsi="宋体" w:cs="宋体"/>
          <w:color w:val="auto"/>
          <w:szCs w:val="32"/>
          <w:highlight w:val="none"/>
        </w:rPr>
        <w:t>同步发布本工程公告</w:t>
      </w:r>
      <w:r>
        <w:rPr>
          <w:color w:val="auto"/>
          <w:highlight w:val="none"/>
        </w:rPr>
        <w:tab/>
      </w:r>
      <w:r>
        <w:rPr>
          <w:color w:val="auto"/>
          <w:highlight w:val="none"/>
        </w:rPr>
        <w:fldChar w:fldCharType="end"/>
      </w:r>
      <w:r>
        <w:rPr>
          <w:rFonts w:hint="eastAsia"/>
          <w:color w:val="auto"/>
          <w:highlight w:val="none"/>
          <w:lang w:val="en-US" w:eastAsia="zh-CN"/>
        </w:rPr>
        <w:t>4</w:t>
      </w:r>
    </w:p>
    <w:p w14:paraId="0B9F9822">
      <w:pPr>
        <w:pStyle w:val="37"/>
        <w:tabs>
          <w:tab w:val="right" w:leader="dot" w:pos="9185"/>
        </w:tabs>
        <w:spacing w:before="0" w:after="0"/>
        <w:rPr>
          <w:color w:val="auto"/>
          <w:highlight w:val="none"/>
        </w:rPr>
      </w:pPr>
      <w:r>
        <w:rPr>
          <w:color w:val="auto"/>
          <w:highlight w:val="none"/>
        </w:rPr>
        <w:fldChar w:fldCharType="begin"/>
      </w:r>
      <w:r>
        <w:rPr>
          <w:color w:val="auto"/>
          <w:highlight w:val="none"/>
        </w:rPr>
        <w:instrText xml:space="preserve"> HYPERLINK \l "_Toc25125" </w:instrText>
      </w:r>
      <w:r>
        <w:rPr>
          <w:color w:val="auto"/>
          <w:highlight w:val="none"/>
        </w:rPr>
        <w:fldChar w:fldCharType="separate"/>
      </w:r>
      <w:r>
        <w:rPr>
          <w:rFonts w:hint="eastAsia" w:ascii="宋体" w:hAnsi="宋体" w:cs="宋体"/>
          <w:color w:val="auto"/>
          <w:highlight w:val="none"/>
        </w:rPr>
        <w:t>第二章 投标人须知</w:t>
      </w:r>
      <w:r>
        <w:rPr>
          <w:color w:val="auto"/>
          <w:highlight w:val="none"/>
        </w:rPr>
        <w:tab/>
      </w:r>
      <w:r>
        <w:rPr>
          <w:rFonts w:hint="eastAsia"/>
          <w:color w:val="auto"/>
          <w:highlight w:val="none"/>
        </w:rPr>
        <w:t>6</w:t>
      </w:r>
      <w:r>
        <w:rPr>
          <w:rFonts w:hint="eastAsia"/>
          <w:color w:val="auto"/>
          <w:highlight w:val="none"/>
        </w:rPr>
        <w:fldChar w:fldCharType="end"/>
      </w:r>
    </w:p>
    <w:p w14:paraId="109DB40D">
      <w:pPr>
        <w:pStyle w:val="37"/>
        <w:tabs>
          <w:tab w:val="right" w:leader="dot" w:pos="9185"/>
        </w:tabs>
        <w:rPr>
          <w:color w:val="auto"/>
          <w:highlight w:val="none"/>
        </w:rPr>
      </w:pPr>
      <w:r>
        <w:rPr>
          <w:color w:val="auto"/>
          <w:highlight w:val="none"/>
        </w:rPr>
        <w:fldChar w:fldCharType="begin"/>
      </w:r>
      <w:r>
        <w:rPr>
          <w:color w:val="auto"/>
          <w:highlight w:val="none"/>
        </w:rPr>
        <w:instrText xml:space="preserve"> HYPERLINK \l "_Toc7449" </w:instrText>
      </w:r>
      <w:r>
        <w:rPr>
          <w:color w:val="auto"/>
          <w:highlight w:val="none"/>
        </w:rPr>
        <w:fldChar w:fldCharType="separate"/>
      </w:r>
      <w:r>
        <w:rPr>
          <w:rFonts w:hint="eastAsia" w:ascii="宋体" w:hAnsi="宋体" w:cs="宋体"/>
          <w:color w:val="auto"/>
          <w:highlight w:val="none"/>
        </w:rPr>
        <w:t>第三章  评标办法（综合评分）</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8</w:t>
      </w:r>
    </w:p>
    <w:p w14:paraId="24874742">
      <w:pPr>
        <w:pStyle w:val="37"/>
        <w:tabs>
          <w:tab w:val="right" w:leader="dot" w:pos="9185"/>
        </w:tabs>
        <w:rPr>
          <w:color w:val="auto"/>
          <w:highlight w:val="none"/>
        </w:rPr>
      </w:pPr>
      <w:r>
        <w:rPr>
          <w:color w:val="auto"/>
          <w:highlight w:val="none"/>
        </w:rPr>
        <w:fldChar w:fldCharType="begin"/>
      </w:r>
      <w:r>
        <w:rPr>
          <w:color w:val="auto"/>
          <w:highlight w:val="none"/>
        </w:rPr>
        <w:instrText xml:space="preserve"> HYPERLINK \l "_Toc6379" </w:instrText>
      </w:r>
      <w:r>
        <w:rPr>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章</w:t>
      </w:r>
      <w:r>
        <w:rPr>
          <w:rFonts w:hint="eastAsia" w:ascii="宋体" w:hAnsi="宋体" w:cs="宋体"/>
          <w:color w:val="auto"/>
          <w:szCs w:val="32"/>
          <w:highlight w:val="none"/>
        </w:rPr>
        <w:t xml:space="preserve">   </w:t>
      </w:r>
      <w:r>
        <w:rPr>
          <w:rFonts w:hint="eastAsia" w:ascii="宋体" w:hAnsi="宋体" w:cs="宋体"/>
          <w:color w:val="auto"/>
          <w:highlight w:val="none"/>
        </w:rPr>
        <w:t>技术规范</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1</w:t>
      </w:r>
    </w:p>
    <w:p w14:paraId="47C7A4AD">
      <w:pPr>
        <w:pStyle w:val="37"/>
        <w:tabs>
          <w:tab w:val="right" w:leader="dot" w:pos="9185"/>
        </w:tabs>
        <w:rPr>
          <w:color w:val="auto"/>
          <w:highlight w:val="none"/>
        </w:rPr>
      </w:pPr>
      <w:r>
        <w:rPr>
          <w:color w:val="auto"/>
          <w:highlight w:val="none"/>
        </w:rPr>
        <w:fldChar w:fldCharType="begin"/>
      </w:r>
      <w:r>
        <w:rPr>
          <w:color w:val="auto"/>
          <w:highlight w:val="none"/>
        </w:rPr>
        <w:instrText xml:space="preserve"> HYPERLINK \l "_Toc26655" </w:instrText>
      </w:r>
      <w:r>
        <w:rPr>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五</w:t>
      </w:r>
      <w:r>
        <w:rPr>
          <w:rFonts w:hint="eastAsia" w:ascii="宋体" w:hAnsi="宋体" w:cs="宋体"/>
          <w:color w:val="auto"/>
          <w:highlight w:val="none"/>
        </w:rPr>
        <w:t>章</w:t>
      </w:r>
      <w:r>
        <w:rPr>
          <w:rFonts w:hint="eastAsia" w:ascii="宋体" w:hAnsi="宋体" w:cs="宋体"/>
          <w:color w:val="auto"/>
          <w:szCs w:val="32"/>
          <w:highlight w:val="none"/>
        </w:rPr>
        <w:t xml:space="preserve">   </w:t>
      </w:r>
      <w:r>
        <w:rPr>
          <w:rFonts w:hint="eastAsia" w:ascii="宋体" w:hAnsi="宋体" w:cs="宋体"/>
          <w:color w:val="auto"/>
          <w:highlight w:val="none"/>
        </w:rPr>
        <w:t>投标文件格式</w:t>
      </w:r>
      <w:r>
        <w:rPr>
          <w:color w:val="auto"/>
          <w:highlight w:val="none"/>
        </w:rPr>
        <w:tab/>
      </w:r>
      <w:r>
        <w:rPr>
          <w:color w:val="auto"/>
          <w:highlight w:val="none"/>
        </w:rPr>
        <w:fldChar w:fldCharType="end"/>
      </w:r>
      <w:r>
        <w:rPr>
          <w:rFonts w:hint="eastAsia"/>
          <w:color w:val="auto"/>
          <w:highlight w:val="none"/>
        </w:rPr>
        <w:t>21</w:t>
      </w:r>
    </w:p>
    <w:p w14:paraId="3909B858">
      <w:pPr>
        <w:tabs>
          <w:tab w:val="center" w:pos="5183"/>
        </w:tabs>
        <w:rPr>
          <w:rFonts w:ascii="宋体" w:hAnsi="宋体" w:eastAsia="宋体" w:cs="宋体"/>
          <w:color w:val="auto"/>
          <w:szCs w:val="28"/>
          <w:highlight w:val="none"/>
        </w:rPr>
      </w:pPr>
      <w:r>
        <w:rPr>
          <w:rFonts w:hint="eastAsia" w:ascii="宋体" w:hAnsi="宋体" w:eastAsia="宋体" w:cs="宋体"/>
          <w:color w:val="auto"/>
          <w:szCs w:val="28"/>
          <w:highlight w:val="none"/>
        </w:rPr>
        <w:fldChar w:fldCharType="end"/>
      </w:r>
      <w:r>
        <w:rPr>
          <w:rFonts w:ascii="宋体" w:hAnsi="宋体" w:eastAsia="宋体" w:cs="宋体"/>
          <w:color w:val="auto"/>
          <w:szCs w:val="28"/>
          <w:highlight w:val="none"/>
        </w:rPr>
        <w:tab/>
      </w:r>
    </w:p>
    <w:p w14:paraId="4FDF2420">
      <w:pPr>
        <w:rPr>
          <w:rFonts w:ascii="宋体" w:hAnsi="宋体" w:eastAsia="宋体" w:cs="宋体"/>
          <w:b/>
          <w:color w:val="auto"/>
          <w:sz w:val="28"/>
          <w:szCs w:val="28"/>
          <w:highlight w:val="none"/>
        </w:rPr>
      </w:pPr>
    </w:p>
    <w:p w14:paraId="515B5F2F">
      <w:pPr>
        <w:rPr>
          <w:rFonts w:ascii="宋体" w:hAnsi="宋体" w:eastAsia="宋体" w:cs="宋体"/>
          <w:b/>
          <w:color w:val="auto"/>
          <w:sz w:val="28"/>
          <w:szCs w:val="28"/>
          <w:highlight w:val="none"/>
        </w:rPr>
      </w:pPr>
    </w:p>
    <w:p w14:paraId="0227A726">
      <w:pPr>
        <w:rPr>
          <w:rFonts w:ascii="宋体" w:hAnsi="宋体" w:eastAsia="宋体" w:cs="宋体"/>
          <w:b/>
          <w:color w:val="auto"/>
          <w:sz w:val="28"/>
          <w:szCs w:val="28"/>
          <w:highlight w:val="none"/>
        </w:rPr>
      </w:pPr>
    </w:p>
    <w:p w14:paraId="2BDDD105">
      <w:pPr>
        <w:rPr>
          <w:rFonts w:ascii="宋体" w:hAnsi="宋体" w:eastAsia="宋体" w:cs="宋体"/>
          <w:b/>
          <w:color w:val="auto"/>
          <w:sz w:val="28"/>
          <w:szCs w:val="28"/>
          <w:highlight w:val="none"/>
        </w:rPr>
      </w:pPr>
    </w:p>
    <w:p w14:paraId="729D871B">
      <w:pPr>
        <w:rPr>
          <w:rFonts w:ascii="宋体" w:hAnsi="宋体" w:eastAsia="宋体" w:cs="宋体"/>
          <w:b/>
          <w:color w:val="auto"/>
          <w:sz w:val="28"/>
          <w:szCs w:val="28"/>
          <w:highlight w:val="none"/>
        </w:rPr>
      </w:pPr>
    </w:p>
    <w:p w14:paraId="6033FBA4">
      <w:pPr>
        <w:rPr>
          <w:rFonts w:ascii="宋体" w:hAnsi="宋体" w:eastAsia="宋体" w:cs="宋体"/>
          <w:b/>
          <w:color w:val="auto"/>
          <w:sz w:val="28"/>
          <w:szCs w:val="28"/>
          <w:highlight w:val="none"/>
        </w:rPr>
      </w:pPr>
    </w:p>
    <w:p w14:paraId="302216E5">
      <w:pPr>
        <w:rPr>
          <w:rFonts w:ascii="宋体" w:hAnsi="宋体" w:eastAsia="宋体" w:cs="宋体"/>
          <w:b/>
          <w:color w:val="auto"/>
          <w:sz w:val="28"/>
          <w:szCs w:val="28"/>
          <w:highlight w:val="none"/>
        </w:rPr>
      </w:pPr>
    </w:p>
    <w:p w14:paraId="5679639A">
      <w:pPr>
        <w:rPr>
          <w:rFonts w:ascii="宋体" w:hAnsi="宋体" w:eastAsia="宋体" w:cs="宋体"/>
          <w:b/>
          <w:color w:val="auto"/>
          <w:sz w:val="28"/>
          <w:szCs w:val="28"/>
          <w:highlight w:val="none"/>
        </w:rPr>
      </w:pPr>
    </w:p>
    <w:p w14:paraId="4AF2D411">
      <w:pPr>
        <w:rPr>
          <w:rFonts w:ascii="宋体" w:hAnsi="宋体" w:eastAsia="宋体" w:cs="宋体"/>
          <w:bCs/>
          <w:color w:val="auto"/>
          <w:sz w:val="36"/>
          <w:szCs w:val="36"/>
          <w:highlight w:val="none"/>
        </w:rPr>
      </w:pPr>
    </w:p>
    <w:bookmarkEnd w:id="15"/>
    <w:bookmarkEnd w:id="16"/>
    <w:bookmarkEnd w:id="17"/>
    <w:bookmarkEnd w:id="18"/>
    <w:bookmarkEnd w:id="19"/>
    <w:bookmarkEnd w:id="20"/>
    <w:bookmarkEnd w:id="21"/>
    <w:bookmarkEnd w:id="22"/>
    <w:bookmarkEnd w:id="23"/>
    <w:bookmarkEnd w:id="24"/>
    <w:bookmarkEnd w:id="25"/>
    <w:p w14:paraId="1E0DD273">
      <w:pPr>
        <w:pStyle w:val="139"/>
        <w:rPr>
          <w:rFonts w:ascii="宋体" w:hAnsi="宋体" w:eastAsia="宋体"/>
          <w:color w:val="auto"/>
          <w:sz w:val="36"/>
          <w:szCs w:val="36"/>
          <w:highlight w:val="none"/>
        </w:rPr>
      </w:pPr>
      <w:bookmarkStart w:id="26" w:name="_Toc32592"/>
      <w:bookmarkStart w:id="27" w:name="_Toc494527195"/>
      <w:r>
        <w:rPr>
          <w:rFonts w:hint="eastAsia" w:ascii="宋体" w:hAnsi="宋体" w:eastAsia="宋体"/>
          <w:bCs w:val="0"/>
          <w:color w:val="auto"/>
          <w:sz w:val="36"/>
          <w:szCs w:val="36"/>
          <w:highlight w:val="none"/>
        </w:rPr>
        <w:t>第一章 招标公告</w:t>
      </w:r>
      <w:bookmarkEnd w:id="26"/>
      <w:bookmarkEnd w:id="27"/>
      <w:bookmarkStart w:id="28" w:name="_Toc275703042"/>
    </w:p>
    <w:bookmarkEnd w:id="28"/>
    <w:p w14:paraId="6CDF4645">
      <w:pPr>
        <w:widowControl/>
        <w:jc w:val="left"/>
        <w:rPr>
          <w:rFonts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一、</w:t>
      </w:r>
      <w:r>
        <w:rPr>
          <w:rFonts w:hint="eastAsia" w:ascii="宋体" w:hAnsi="宋体" w:eastAsia="宋体" w:cs="宋体"/>
          <w:color w:val="auto"/>
          <w:kern w:val="0"/>
          <w:sz w:val="28"/>
          <w:szCs w:val="28"/>
          <w:highlight w:val="none"/>
          <w:lang w:val="en-US" w:eastAsia="zh-CN" w:bidi="ar"/>
        </w:rPr>
        <w:t>项目</w:t>
      </w:r>
      <w:r>
        <w:rPr>
          <w:rFonts w:hint="eastAsia" w:ascii="宋体" w:hAnsi="宋体" w:eastAsia="宋体" w:cs="宋体"/>
          <w:color w:val="auto"/>
          <w:kern w:val="0"/>
          <w:sz w:val="28"/>
          <w:szCs w:val="28"/>
          <w:highlight w:val="none"/>
          <w:lang w:bidi="ar"/>
        </w:rPr>
        <w:t>概况：</w:t>
      </w:r>
    </w:p>
    <w:p w14:paraId="534517FD">
      <w:pPr>
        <w:spacing w:before="156" w:after="156"/>
        <w:jc w:val="both"/>
        <w:rPr>
          <w:rFonts w:hint="eastAsia" w:ascii="宋体" w:hAnsi="宋体" w:eastAsia="宋体" w:cs="宋体"/>
          <w:b/>
          <w:color w:val="auto"/>
          <w:kern w:val="0"/>
          <w:sz w:val="28"/>
          <w:szCs w:val="28"/>
          <w:highlight w:val="none"/>
          <w:u w:val="single"/>
          <w:lang w:bidi="ar"/>
        </w:rPr>
      </w:pPr>
      <w:r>
        <w:rPr>
          <w:rFonts w:hint="eastAsia" w:ascii="宋体" w:hAnsi="宋体" w:eastAsia="宋体" w:cs="宋体"/>
          <w:color w:val="auto"/>
          <w:kern w:val="0"/>
          <w:sz w:val="28"/>
          <w:szCs w:val="28"/>
          <w:highlight w:val="none"/>
          <w:lang w:val="en-US" w:eastAsia="zh-CN" w:bidi="ar"/>
        </w:rPr>
        <w:t xml:space="preserve">   </w:t>
      </w:r>
      <w:r>
        <w:rPr>
          <w:rFonts w:hint="eastAsia" w:ascii="宋体" w:hAnsi="宋体" w:eastAsia="宋体" w:cs="宋体"/>
          <w:color w:val="auto"/>
          <w:kern w:val="0"/>
          <w:sz w:val="28"/>
          <w:szCs w:val="28"/>
          <w:highlight w:val="none"/>
          <w:lang w:bidi="ar"/>
        </w:rPr>
        <w:t>1、</w:t>
      </w:r>
      <w:r>
        <w:rPr>
          <w:rFonts w:hint="eastAsia" w:ascii="宋体" w:hAnsi="宋体" w:eastAsia="宋体" w:cs="宋体"/>
          <w:color w:val="auto"/>
          <w:kern w:val="0"/>
          <w:sz w:val="28"/>
          <w:szCs w:val="28"/>
          <w:highlight w:val="none"/>
          <w:lang w:val="en-US" w:eastAsia="zh-CN" w:bidi="ar"/>
        </w:rPr>
        <w:t>项目</w:t>
      </w:r>
      <w:r>
        <w:rPr>
          <w:rFonts w:hint="eastAsia" w:ascii="宋体" w:hAnsi="宋体" w:eastAsia="宋体" w:cs="宋体"/>
          <w:color w:val="auto"/>
          <w:kern w:val="0"/>
          <w:sz w:val="28"/>
          <w:szCs w:val="28"/>
          <w:highlight w:val="none"/>
          <w:lang w:bidi="ar"/>
        </w:rPr>
        <w:t>名称：</w:t>
      </w:r>
      <w:r>
        <w:rPr>
          <w:rFonts w:hint="eastAsia" w:ascii="宋体" w:hAnsi="宋体" w:eastAsia="宋体" w:cs="宋体"/>
          <w:color w:val="auto"/>
          <w:kern w:val="0"/>
          <w:sz w:val="28"/>
          <w:szCs w:val="28"/>
          <w:highlight w:val="none"/>
          <w:u w:val="single"/>
          <w:lang w:bidi="ar"/>
        </w:rPr>
        <w:t>三峰靖江港务物流有限责任公司封闭式料仓设计</w:t>
      </w:r>
    </w:p>
    <w:p w14:paraId="3FD05CB9">
      <w:pPr>
        <w:widowControl/>
        <w:ind w:firstLine="480"/>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w:t>
      </w:r>
      <w:r>
        <w:rPr>
          <w:rFonts w:hint="eastAsia" w:ascii="宋体" w:hAnsi="宋体" w:eastAsia="宋体" w:cs="宋体"/>
          <w:color w:val="auto"/>
          <w:kern w:val="0"/>
          <w:sz w:val="28"/>
          <w:szCs w:val="28"/>
          <w:highlight w:val="none"/>
          <w:lang w:val="en-US" w:eastAsia="zh-CN" w:bidi="ar"/>
        </w:rPr>
        <w:t>项目</w:t>
      </w:r>
      <w:r>
        <w:rPr>
          <w:rFonts w:hint="eastAsia" w:ascii="宋体" w:hAnsi="宋体" w:eastAsia="宋体" w:cs="宋体"/>
          <w:color w:val="auto"/>
          <w:kern w:val="0"/>
          <w:sz w:val="28"/>
          <w:szCs w:val="28"/>
          <w:highlight w:val="none"/>
          <w:lang w:bidi="ar"/>
        </w:rPr>
        <w:t>地点：</w:t>
      </w:r>
      <w:r>
        <w:rPr>
          <w:rFonts w:hint="eastAsia" w:ascii="宋体" w:hAnsi="宋体" w:eastAsia="宋体" w:cs="宋体"/>
          <w:color w:val="auto"/>
          <w:kern w:val="0"/>
          <w:sz w:val="28"/>
          <w:szCs w:val="28"/>
          <w:highlight w:val="none"/>
          <w:u w:val="single"/>
          <w:lang w:bidi="ar"/>
        </w:rPr>
        <w:t>靖江市西来镇</w:t>
      </w:r>
    </w:p>
    <w:p w14:paraId="3BD732D2">
      <w:pPr>
        <w:widowControl/>
        <w:ind w:firstLine="480"/>
        <w:jc w:val="left"/>
        <w:rPr>
          <w:rFonts w:hint="default" w:ascii="宋体" w:hAnsi="宋体" w:eastAsia="宋体" w:cs="宋体"/>
          <w:color w:val="auto"/>
          <w:kern w:val="0"/>
          <w:sz w:val="28"/>
          <w:szCs w:val="28"/>
          <w:highlight w:val="none"/>
          <w:u w:val="single"/>
          <w:lang w:val="en-US"/>
        </w:rPr>
      </w:pPr>
      <w:r>
        <w:rPr>
          <w:rFonts w:hint="eastAsia" w:ascii="宋体" w:hAnsi="宋体" w:eastAsia="宋体" w:cs="宋体"/>
          <w:color w:val="auto"/>
          <w:kern w:val="0"/>
          <w:sz w:val="28"/>
          <w:szCs w:val="28"/>
          <w:highlight w:val="none"/>
          <w:lang w:bidi="ar"/>
        </w:rPr>
        <w:t>3、</w:t>
      </w:r>
      <w:r>
        <w:rPr>
          <w:rFonts w:hint="eastAsia" w:ascii="宋体" w:hAnsi="宋体" w:eastAsia="宋体" w:cs="宋体"/>
          <w:color w:val="auto"/>
          <w:kern w:val="0"/>
          <w:sz w:val="28"/>
          <w:szCs w:val="28"/>
          <w:highlight w:val="none"/>
          <w:lang w:val="en-US" w:eastAsia="zh-CN" w:bidi="ar"/>
        </w:rPr>
        <w:t>项目概况与建设规模：</w:t>
      </w:r>
      <w:r>
        <w:rPr>
          <w:rFonts w:hint="eastAsia" w:ascii="宋体" w:hAnsi="宋体" w:eastAsia="宋体" w:cs="宋体"/>
          <w:color w:val="auto"/>
          <w:kern w:val="0"/>
          <w:sz w:val="28"/>
          <w:szCs w:val="28"/>
          <w:highlight w:val="none"/>
          <w:u w:val="single"/>
          <w:lang w:val="en-US" w:eastAsia="zh-CN" w:bidi="ar"/>
        </w:rPr>
        <w:t>三峰靖江港务物流有限责任公司煤炭大棚封闭式料仓建造项目位于江苏省泰州市靖江市三峰靖江港务物流有限责任公司现有堆场内，拟建料仓位置位于1号堆场和2号堆场之间，1号堆场和2号堆场之间运行堆取料机。为满足环保要求，现需在1号堆场和2号堆场东部靠近现有2号变电所一侧新建料仓。占地面积约为24000平方米，投资规模约3852.06万。</w:t>
      </w:r>
    </w:p>
    <w:p w14:paraId="40F8B668">
      <w:pPr>
        <w:widowControl/>
        <w:ind w:firstLine="480"/>
        <w:jc w:val="left"/>
        <w:rPr>
          <w:rFonts w:hint="default" w:ascii="宋体" w:hAnsi="宋体" w:eastAsia="宋体" w:cs="宋体"/>
          <w:color w:val="auto"/>
          <w:sz w:val="28"/>
          <w:szCs w:val="28"/>
          <w:highlight w:val="none"/>
          <w:u w:val="single"/>
          <w:lang w:val="en-US"/>
        </w:rPr>
      </w:pPr>
      <w:r>
        <w:rPr>
          <w:rFonts w:hint="eastAsia" w:ascii="宋体" w:hAnsi="宋体" w:eastAsia="宋体" w:cs="宋体"/>
          <w:color w:val="auto"/>
          <w:kern w:val="0"/>
          <w:sz w:val="28"/>
          <w:szCs w:val="28"/>
          <w:highlight w:val="none"/>
          <w:lang w:bidi="ar"/>
        </w:rPr>
        <w:t>4、</w:t>
      </w:r>
      <w:r>
        <w:rPr>
          <w:rFonts w:hint="eastAsia" w:ascii="宋体" w:hAnsi="宋体" w:eastAsia="宋体" w:cs="宋体"/>
          <w:color w:val="auto"/>
          <w:kern w:val="0"/>
          <w:sz w:val="28"/>
          <w:szCs w:val="28"/>
          <w:highlight w:val="none"/>
          <w:lang w:val="en-US" w:eastAsia="zh-CN" w:bidi="ar"/>
        </w:rPr>
        <w:t>设计期</w:t>
      </w:r>
      <w:r>
        <w:rPr>
          <w:rFonts w:hint="eastAsia" w:ascii="宋体" w:hAnsi="宋体" w:eastAsia="宋体" w:cs="宋体"/>
          <w:color w:val="auto"/>
          <w:kern w:val="0"/>
          <w:sz w:val="28"/>
          <w:szCs w:val="28"/>
          <w:highlight w:val="none"/>
          <w:lang w:bidi="ar"/>
        </w:rPr>
        <w:t>：</w:t>
      </w:r>
      <w:r>
        <w:rPr>
          <w:rFonts w:hint="eastAsia" w:ascii="宋体" w:hAnsi="宋体" w:eastAsia="宋体" w:cs="宋体"/>
          <w:color w:val="auto"/>
          <w:kern w:val="0"/>
          <w:sz w:val="28"/>
          <w:szCs w:val="28"/>
          <w:highlight w:val="none"/>
          <w:lang w:val="en-US" w:eastAsia="zh-CN" w:bidi="ar"/>
        </w:rPr>
        <w:t xml:space="preserve"> </w:t>
      </w:r>
      <w:r>
        <w:rPr>
          <w:rFonts w:hint="eastAsia" w:ascii="宋体" w:hAnsi="宋体" w:eastAsia="宋体" w:cs="宋体"/>
          <w:color w:val="auto"/>
          <w:kern w:val="0"/>
          <w:sz w:val="28"/>
          <w:szCs w:val="28"/>
          <w:highlight w:val="none"/>
          <w:u w:val="single"/>
          <w:lang w:val="en-US" w:eastAsia="zh-CN" w:bidi="ar"/>
        </w:rPr>
        <w:t>40个日历天</w:t>
      </w:r>
    </w:p>
    <w:p w14:paraId="5EE1BD6B">
      <w:pPr>
        <w:widowControl/>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二、</w:t>
      </w:r>
      <w:r>
        <w:rPr>
          <w:rFonts w:hint="eastAsia" w:ascii="宋体" w:hAnsi="宋体" w:eastAsia="宋体" w:cs="宋体"/>
          <w:color w:val="auto"/>
          <w:kern w:val="0"/>
          <w:sz w:val="28"/>
          <w:szCs w:val="28"/>
          <w:highlight w:val="none"/>
          <w:lang w:val="en-US" w:eastAsia="zh-CN" w:bidi="ar"/>
        </w:rPr>
        <w:t>项目</w:t>
      </w:r>
      <w:r>
        <w:rPr>
          <w:rFonts w:hint="eastAsia" w:ascii="宋体" w:hAnsi="宋体" w:eastAsia="宋体" w:cs="宋体"/>
          <w:color w:val="auto"/>
          <w:kern w:val="0"/>
          <w:sz w:val="28"/>
          <w:szCs w:val="28"/>
          <w:highlight w:val="none"/>
          <w:lang w:bidi="ar"/>
        </w:rPr>
        <w:t>造价：</w:t>
      </w:r>
    </w:p>
    <w:tbl>
      <w:tblPr>
        <w:tblStyle w:val="53"/>
        <w:tblW w:w="7943" w:type="dxa"/>
        <w:tblInd w:w="39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552"/>
        <w:gridCol w:w="2696"/>
        <w:gridCol w:w="2695"/>
      </w:tblGrid>
      <w:tr w14:paraId="35A8E2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7" w:hRule="atLeast"/>
        </w:trPr>
        <w:tc>
          <w:tcPr>
            <w:tcW w:w="255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bottom"/>
          </w:tcPr>
          <w:p w14:paraId="5E75CF7D">
            <w:pPr>
              <w:widowControl/>
              <w:ind w:firstLine="360"/>
              <w:jc w:val="left"/>
              <w:rPr>
                <w:rFonts w:hint="eastAsia" w:ascii="宋体" w:hAnsi="宋体" w:eastAsia="宋体" w:cs="宋体"/>
                <w:color w:val="auto"/>
                <w:sz w:val="28"/>
                <w:szCs w:val="28"/>
                <w:highlight w:val="none"/>
                <w:lang w:val="en-US" w:eastAsia="zh-CN"/>
              </w:rPr>
            </w:pPr>
          </w:p>
        </w:tc>
        <w:tc>
          <w:tcPr>
            <w:tcW w:w="269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bottom"/>
          </w:tcPr>
          <w:p w14:paraId="70F927A0">
            <w:pPr>
              <w:widowControl/>
              <w:ind w:firstLine="240"/>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金额</w:t>
            </w:r>
          </w:p>
        </w:tc>
        <w:tc>
          <w:tcPr>
            <w:tcW w:w="2693"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4F9A3667">
            <w:pPr>
              <w:widowControl/>
              <w:jc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该价含税，价格含</w:t>
            </w:r>
            <w:r>
              <w:rPr>
                <w:rFonts w:hint="eastAsia" w:ascii="宋体" w:hAnsi="宋体" w:eastAsia="宋体" w:cs="宋体"/>
                <w:color w:val="auto"/>
                <w:kern w:val="0"/>
                <w:sz w:val="28"/>
                <w:szCs w:val="28"/>
                <w:highlight w:val="none"/>
                <w:lang w:val="en-US" w:eastAsia="zh-CN" w:bidi="ar"/>
              </w:rPr>
              <w:t>设计、勘察</w:t>
            </w:r>
            <w:r>
              <w:rPr>
                <w:rFonts w:hint="eastAsia" w:ascii="宋体" w:hAnsi="宋体" w:eastAsia="宋体" w:cs="宋体"/>
                <w:color w:val="auto"/>
                <w:kern w:val="0"/>
                <w:sz w:val="28"/>
                <w:szCs w:val="28"/>
                <w:highlight w:val="none"/>
                <w:lang w:bidi="ar"/>
              </w:rPr>
              <w:t>等所有费用在内。</w:t>
            </w:r>
          </w:p>
        </w:tc>
      </w:tr>
      <w:tr w14:paraId="24A794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5" w:hRule="atLeast"/>
        </w:trPr>
        <w:tc>
          <w:tcPr>
            <w:tcW w:w="255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206B2CB">
            <w:pPr>
              <w:widowControl/>
              <w:jc w:val="center"/>
              <w:rPr>
                <w:rFonts w:hint="default" w:ascii="宋体" w:hAnsi="宋体" w:cs="宋体" w:eastAsiaTheme="minorEastAsia"/>
                <w:color w:val="auto"/>
                <w:sz w:val="28"/>
                <w:szCs w:val="28"/>
                <w:highlight w:val="none"/>
                <w:lang w:val="en-US" w:eastAsia="zh-CN"/>
              </w:rPr>
            </w:pPr>
            <w:r>
              <w:rPr>
                <w:rFonts w:hint="eastAsia" w:ascii="宋体" w:hAnsi="宋体" w:eastAsia="宋体" w:cs="宋体"/>
                <w:color w:val="auto"/>
                <w:kern w:val="0"/>
                <w:sz w:val="28"/>
                <w:szCs w:val="28"/>
                <w:highlight w:val="none"/>
                <w:lang w:bidi="ar"/>
              </w:rPr>
              <w:t>投标最高限价</w:t>
            </w:r>
          </w:p>
        </w:tc>
        <w:tc>
          <w:tcPr>
            <w:tcW w:w="2694" w:type="dxa"/>
            <w:tcBorders>
              <w:top w:val="nil"/>
              <w:left w:val="nil"/>
              <w:bottom w:val="single" w:color="000000" w:sz="8" w:space="0"/>
              <w:right w:val="single" w:color="000000" w:sz="8" w:space="0"/>
            </w:tcBorders>
            <w:shd w:val="clear" w:color="auto" w:fill="auto"/>
            <w:tcMar>
              <w:left w:w="108" w:type="dxa"/>
              <w:right w:w="108" w:type="dxa"/>
            </w:tcMar>
            <w:vAlign w:val="center"/>
          </w:tcPr>
          <w:p w14:paraId="65F56958">
            <w:pPr>
              <w:widowControl/>
              <w:ind w:firstLine="240"/>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highlight w:val="none"/>
                <w:lang w:val="en-US" w:eastAsia="zh-CN" w:bidi="ar"/>
              </w:rPr>
              <w:t>90万</w:t>
            </w:r>
          </w:p>
        </w:tc>
        <w:tc>
          <w:tcPr>
            <w:tcW w:w="2693"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49334C5F">
            <w:pPr>
              <w:widowControl/>
              <w:rPr>
                <w:rFonts w:ascii="宋体" w:hAnsi="宋体" w:eastAsia="宋体" w:cs="宋体"/>
                <w:color w:val="auto"/>
                <w:sz w:val="28"/>
                <w:szCs w:val="28"/>
                <w:highlight w:val="none"/>
              </w:rPr>
            </w:pPr>
          </w:p>
        </w:tc>
      </w:tr>
    </w:tbl>
    <w:p w14:paraId="2037B643">
      <w:pPr>
        <w:widowControl/>
        <w:numPr>
          <w:ilvl w:val="0"/>
          <w:numId w:val="2"/>
        </w:numPr>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付款方式：合同签订后7个工作日内支付合同总价的30%；出具正式设计方案及图纸，经招标人及独立第三方确认后30个工作日内一次性支付尾款，尾款不计息。</w:t>
      </w:r>
    </w:p>
    <w:p w14:paraId="54D59FAE">
      <w:pPr>
        <w:widowControl/>
        <w:numPr>
          <w:ilvl w:val="0"/>
          <w:numId w:val="0"/>
        </w:numPr>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四</w:t>
      </w:r>
      <w:r>
        <w:rPr>
          <w:rFonts w:hint="eastAsia" w:ascii="宋体" w:hAnsi="宋体" w:eastAsia="宋体" w:cs="宋体"/>
          <w:color w:val="auto"/>
          <w:kern w:val="0"/>
          <w:sz w:val="28"/>
          <w:szCs w:val="28"/>
          <w:highlight w:val="none"/>
          <w:lang w:bidi="ar"/>
        </w:rPr>
        <w:t>、评标方式：</w:t>
      </w:r>
      <w:r>
        <w:rPr>
          <w:rFonts w:hint="eastAsia" w:ascii="宋体" w:hAnsi="宋体" w:eastAsia="宋体" w:cs="宋体"/>
          <w:color w:val="auto"/>
          <w:sz w:val="28"/>
          <w:szCs w:val="28"/>
          <w:highlight w:val="none"/>
        </w:rPr>
        <w:t>综合评</w:t>
      </w:r>
      <w:r>
        <w:rPr>
          <w:rFonts w:hint="eastAsia" w:ascii="宋体" w:hAnsi="宋体" w:eastAsia="宋体" w:cs="宋体"/>
          <w:color w:val="auto"/>
          <w:sz w:val="28"/>
          <w:szCs w:val="28"/>
          <w:highlight w:val="none"/>
          <w:lang w:val="en-US" w:eastAsia="zh-CN"/>
        </w:rPr>
        <w:t>估</w:t>
      </w:r>
      <w:r>
        <w:rPr>
          <w:rFonts w:hint="eastAsia" w:ascii="宋体" w:hAnsi="宋体" w:eastAsia="宋体" w:cs="宋体"/>
          <w:color w:val="auto"/>
          <w:sz w:val="28"/>
          <w:szCs w:val="28"/>
          <w:highlight w:val="none"/>
        </w:rPr>
        <w:t>法</w:t>
      </w:r>
      <w:r>
        <w:rPr>
          <w:rFonts w:hint="eastAsia" w:ascii="宋体" w:hAnsi="宋体" w:eastAsia="宋体" w:cs="宋体"/>
          <w:color w:val="auto"/>
          <w:kern w:val="0"/>
          <w:sz w:val="28"/>
          <w:szCs w:val="28"/>
          <w:highlight w:val="none"/>
          <w:lang w:bidi="ar"/>
        </w:rPr>
        <w:t>。</w:t>
      </w:r>
    </w:p>
    <w:p w14:paraId="7977E7AE">
      <w:pPr>
        <w:widowControl/>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五</w:t>
      </w:r>
      <w:r>
        <w:rPr>
          <w:rFonts w:hint="eastAsia" w:ascii="宋体" w:hAnsi="宋体" w:eastAsia="宋体" w:cs="宋体"/>
          <w:color w:val="auto"/>
          <w:kern w:val="0"/>
          <w:sz w:val="28"/>
          <w:szCs w:val="28"/>
          <w:highlight w:val="none"/>
          <w:lang w:bidi="ar"/>
        </w:rPr>
        <w:t>、投标人资格要求：</w:t>
      </w:r>
    </w:p>
    <w:p w14:paraId="283B0346">
      <w:pPr>
        <w:widowControl/>
        <w:ind w:firstLine="480"/>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1、必须是独立的企业法人，并在上年度年检合格。</w:t>
      </w:r>
    </w:p>
    <w:p w14:paraId="095BAC12">
      <w:pPr>
        <w:widowControl/>
        <w:ind w:firstLine="480"/>
        <w:jc w:val="left"/>
        <w:rPr>
          <w:rFonts w:hint="eastAsia" w:ascii="宋体" w:hAnsi="宋体" w:eastAsia="宋体" w:cs="宋体"/>
          <w:color w:val="auto"/>
          <w:sz w:val="28"/>
          <w:szCs w:val="28"/>
          <w:highlight w:val="none"/>
          <w:u w:val="single"/>
          <w:shd w:val="clear" w:color="auto" w:fill="FFFFFF"/>
          <w:lang w:val="en-US" w:eastAsia="zh-CN"/>
        </w:rPr>
      </w:pPr>
      <w:r>
        <w:rPr>
          <w:rFonts w:hint="eastAsia" w:ascii="宋体" w:hAnsi="宋体" w:eastAsia="宋体" w:cs="宋体"/>
          <w:color w:val="auto"/>
          <w:kern w:val="0"/>
          <w:sz w:val="28"/>
          <w:szCs w:val="28"/>
          <w:highlight w:val="none"/>
          <w:lang w:bidi="ar"/>
        </w:rPr>
        <w:t>2、必须</w:t>
      </w:r>
      <w:r>
        <w:rPr>
          <w:rFonts w:hint="eastAsia" w:ascii="宋体" w:hAnsi="宋体" w:eastAsia="宋体" w:cs="宋体"/>
          <w:color w:val="auto"/>
          <w:sz w:val="28"/>
          <w:szCs w:val="28"/>
          <w:highlight w:val="none"/>
          <w:shd w:val="clear" w:color="auto" w:fill="FFFFFF"/>
        </w:rPr>
        <w:t>具有</w:t>
      </w:r>
      <w:r>
        <w:rPr>
          <w:rFonts w:hint="eastAsia" w:ascii="宋体" w:hAnsi="宋体" w:eastAsia="宋体" w:cs="宋体"/>
          <w:color w:val="auto"/>
          <w:sz w:val="28"/>
          <w:szCs w:val="28"/>
          <w:highlight w:val="none"/>
          <w:u w:val="single"/>
          <w:shd w:val="clear" w:color="auto" w:fill="FFFFFF"/>
          <w:lang w:eastAsia="zh-CN"/>
        </w:rPr>
        <w:t>工</w:t>
      </w:r>
      <w:r>
        <w:rPr>
          <w:rFonts w:hint="eastAsia" w:ascii="宋体" w:hAnsi="宋体" w:eastAsia="宋体" w:cs="宋体"/>
          <w:color w:val="auto"/>
          <w:sz w:val="28"/>
          <w:szCs w:val="28"/>
          <w:highlight w:val="none"/>
          <w:u w:val="single"/>
          <w:shd w:val="clear" w:color="auto" w:fill="FFFFFF"/>
          <w:lang w:val="en-US" w:eastAsia="zh-CN"/>
        </w:rPr>
        <w:t>程设计水运行业（航道工程）专业甲级以及建筑工程设计甲级资质。</w:t>
      </w:r>
    </w:p>
    <w:p w14:paraId="198C5DAC">
      <w:pPr>
        <w:widowControl/>
        <w:ind w:firstLine="480"/>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3、本次招标不接受联合体投标。</w:t>
      </w:r>
    </w:p>
    <w:p w14:paraId="17C2FF4C">
      <w:pPr>
        <w:widowControl/>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六、投标及开标时间：</w:t>
      </w:r>
    </w:p>
    <w:p w14:paraId="5C6F5423">
      <w:pPr>
        <w:widowControl/>
        <w:ind w:firstLine="480"/>
        <w:jc w:val="left"/>
        <w:rPr>
          <w:rFonts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1、投标截止时间：</w:t>
      </w:r>
      <w:r>
        <w:rPr>
          <w:rFonts w:hint="eastAsia" w:ascii="宋体" w:hAnsi="宋体" w:eastAsia="宋体" w:cs="宋体"/>
          <w:color w:val="auto"/>
          <w:kern w:val="0"/>
          <w:sz w:val="28"/>
          <w:szCs w:val="28"/>
          <w:highlight w:val="none"/>
          <w:lang w:eastAsia="zh-CN" w:bidi="ar"/>
        </w:rPr>
        <w:t>2024</w:t>
      </w:r>
      <w:r>
        <w:rPr>
          <w:rFonts w:hint="eastAsia" w:ascii="宋体" w:hAnsi="宋体" w:eastAsia="宋体" w:cs="宋体"/>
          <w:color w:val="auto"/>
          <w:kern w:val="0"/>
          <w:sz w:val="28"/>
          <w:szCs w:val="28"/>
          <w:highlight w:val="none"/>
          <w:lang w:bidi="ar"/>
        </w:rPr>
        <w:t>年</w:t>
      </w:r>
      <w:r>
        <w:rPr>
          <w:rFonts w:hint="eastAsia" w:ascii="宋体" w:hAnsi="宋体" w:eastAsia="宋体" w:cs="宋体"/>
          <w:color w:val="auto"/>
          <w:kern w:val="0"/>
          <w:sz w:val="28"/>
          <w:szCs w:val="28"/>
          <w:highlight w:val="none"/>
          <w:lang w:val="en-US" w:eastAsia="zh-CN" w:bidi="ar"/>
        </w:rPr>
        <w:t>12</w:t>
      </w:r>
      <w:r>
        <w:rPr>
          <w:rFonts w:hint="eastAsia" w:ascii="宋体" w:hAnsi="宋体" w:eastAsia="宋体" w:cs="宋体"/>
          <w:color w:val="auto"/>
          <w:kern w:val="0"/>
          <w:sz w:val="28"/>
          <w:szCs w:val="28"/>
          <w:highlight w:val="none"/>
          <w:lang w:bidi="ar"/>
        </w:rPr>
        <w:t>月</w:t>
      </w:r>
      <w:r>
        <w:rPr>
          <w:rFonts w:hint="eastAsia" w:ascii="宋体" w:hAnsi="宋体" w:eastAsia="宋体" w:cs="宋体"/>
          <w:color w:val="auto"/>
          <w:kern w:val="0"/>
          <w:sz w:val="28"/>
          <w:szCs w:val="28"/>
          <w:highlight w:val="none"/>
          <w:lang w:val="en-US" w:eastAsia="zh-CN" w:bidi="ar"/>
        </w:rPr>
        <w:t>16</w:t>
      </w:r>
      <w:r>
        <w:rPr>
          <w:rFonts w:hint="eastAsia" w:ascii="宋体" w:hAnsi="宋体" w:eastAsia="宋体" w:cs="宋体"/>
          <w:color w:val="auto"/>
          <w:kern w:val="0"/>
          <w:sz w:val="28"/>
          <w:szCs w:val="28"/>
          <w:highlight w:val="none"/>
          <w:u w:val="none"/>
          <w:lang w:bidi="ar"/>
        </w:rPr>
        <w:t xml:space="preserve"> </w:t>
      </w:r>
      <w:r>
        <w:rPr>
          <w:rFonts w:hint="eastAsia" w:ascii="宋体" w:hAnsi="宋体" w:eastAsia="宋体" w:cs="宋体"/>
          <w:color w:val="auto"/>
          <w:kern w:val="0"/>
          <w:sz w:val="28"/>
          <w:szCs w:val="28"/>
          <w:highlight w:val="none"/>
          <w:lang w:bidi="ar"/>
        </w:rPr>
        <w:t>日</w:t>
      </w:r>
      <w:r>
        <w:rPr>
          <w:rFonts w:hint="eastAsia" w:ascii="宋体" w:hAnsi="宋体" w:eastAsia="宋体" w:cs="宋体"/>
          <w:color w:val="auto"/>
          <w:kern w:val="0"/>
          <w:sz w:val="28"/>
          <w:szCs w:val="28"/>
          <w:highlight w:val="none"/>
          <w:lang w:val="en-US" w:eastAsia="zh-CN" w:bidi="ar"/>
        </w:rPr>
        <w:t>14</w:t>
      </w:r>
      <w:r>
        <w:rPr>
          <w:rFonts w:hint="eastAsia" w:ascii="宋体" w:hAnsi="宋体" w:eastAsia="宋体" w:cs="宋体"/>
          <w:color w:val="auto"/>
          <w:kern w:val="0"/>
          <w:sz w:val="28"/>
          <w:szCs w:val="28"/>
          <w:highlight w:val="none"/>
          <w:lang w:bidi="ar"/>
        </w:rPr>
        <w:t>:30。</w:t>
      </w:r>
    </w:p>
    <w:p w14:paraId="6AF62E2B">
      <w:pPr>
        <w:widowControl/>
        <w:ind w:firstLine="48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bidi="ar"/>
        </w:rPr>
        <w:t>联系人：</w:t>
      </w:r>
      <w:r>
        <w:rPr>
          <w:rFonts w:hint="eastAsia" w:ascii="宋体" w:hAnsi="宋体" w:eastAsia="宋体" w:cs="宋体"/>
          <w:color w:val="auto"/>
          <w:kern w:val="0"/>
          <w:sz w:val="28"/>
          <w:szCs w:val="28"/>
          <w:highlight w:val="none"/>
          <w:lang w:val="en-US" w:eastAsia="zh-CN" w:bidi="ar"/>
        </w:rPr>
        <w:t>缪</w:t>
      </w:r>
      <w:r>
        <w:rPr>
          <w:rFonts w:hint="eastAsia" w:ascii="宋体" w:hAnsi="宋体" w:eastAsia="宋体" w:cs="宋体"/>
          <w:color w:val="auto"/>
          <w:kern w:val="0"/>
          <w:sz w:val="28"/>
          <w:szCs w:val="28"/>
          <w:highlight w:val="none"/>
          <w:lang w:bidi="ar"/>
        </w:rPr>
        <w:t>先生   联系电话：</w:t>
      </w:r>
      <w:r>
        <w:rPr>
          <w:rFonts w:hint="eastAsia" w:ascii="宋体" w:hAnsi="宋体" w:eastAsia="宋体" w:cs="宋体"/>
          <w:color w:val="auto"/>
          <w:kern w:val="0"/>
          <w:sz w:val="28"/>
          <w:szCs w:val="28"/>
          <w:highlight w:val="none"/>
          <w:lang w:val="en-US" w:eastAsia="zh-CN" w:bidi="ar"/>
        </w:rPr>
        <w:t>13625182888</w:t>
      </w:r>
    </w:p>
    <w:p w14:paraId="7B43CCEB">
      <w:pPr>
        <w:widowControl/>
        <w:ind w:firstLine="480"/>
        <w:jc w:val="left"/>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bidi="ar"/>
        </w:rPr>
        <w:t>2、开标时间：202</w:t>
      </w:r>
      <w:r>
        <w:rPr>
          <w:rFonts w:hint="eastAsia" w:ascii="宋体" w:hAnsi="宋体" w:eastAsia="宋体" w:cs="宋体"/>
          <w:color w:val="auto"/>
          <w:kern w:val="0"/>
          <w:sz w:val="28"/>
          <w:szCs w:val="28"/>
          <w:highlight w:val="none"/>
          <w:lang w:val="en-US" w:eastAsia="zh-CN" w:bidi="ar"/>
        </w:rPr>
        <w:t>4</w:t>
      </w:r>
      <w:r>
        <w:rPr>
          <w:rFonts w:hint="eastAsia" w:ascii="宋体" w:hAnsi="宋体" w:eastAsia="宋体" w:cs="宋体"/>
          <w:color w:val="auto"/>
          <w:kern w:val="0"/>
          <w:sz w:val="28"/>
          <w:szCs w:val="28"/>
          <w:highlight w:val="none"/>
          <w:lang w:bidi="ar"/>
        </w:rPr>
        <w:t>年</w:t>
      </w:r>
      <w:r>
        <w:rPr>
          <w:rFonts w:hint="eastAsia" w:ascii="宋体" w:hAnsi="宋体" w:eastAsia="宋体" w:cs="宋体"/>
          <w:color w:val="auto"/>
          <w:kern w:val="0"/>
          <w:sz w:val="28"/>
          <w:szCs w:val="28"/>
          <w:highlight w:val="none"/>
          <w:lang w:val="en-US" w:eastAsia="zh-CN" w:bidi="ar"/>
        </w:rPr>
        <w:t>12</w:t>
      </w:r>
      <w:r>
        <w:rPr>
          <w:rFonts w:hint="eastAsia" w:ascii="宋体" w:hAnsi="宋体" w:eastAsia="宋体" w:cs="宋体"/>
          <w:color w:val="auto"/>
          <w:kern w:val="0"/>
          <w:sz w:val="28"/>
          <w:szCs w:val="28"/>
          <w:highlight w:val="none"/>
          <w:lang w:bidi="ar"/>
        </w:rPr>
        <w:t>月</w:t>
      </w:r>
      <w:r>
        <w:rPr>
          <w:rFonts w:hint="eastAsia" w:ascii="宋体" w:hAnsi="宋体" w:eastAsia="宋体" w:cs="宋体"/>
          <w:color w:val="auto"/>
          <w:kern w:val="0"/>
          <w:sz w:val="28"/>
          <w:szCs w:val="28"/>
          <w:highlight w:val="none"/>
          <w:u w:val="none"/>
          <w:lang w:val="en-US" w:eastAsia="zh-CN" w:bidi="ar"/>
        </w:rPr>
        <w:t>16</w:t>
      </w:r>
      <w:r>
        <w:rPr>
          <w:rFonts w:hint="eastAsia" w:ascii="宋体" w:hAnsi="宋体" w:eastAsia="宋体" w:cs="宋体"/>
          <w:color w:val="auto"/>
          <w:kern w:val="0"/>
          <w:sz w:val="28"/>
          <w:szCs w:val="28"/>
          <w:highlight w:val="none"/>
          <w:lang w:bidi="ar"/>
        </w:rPr>
        <w:t>日</w:t>
      </w:r>
      <w:r>
        <w:rPr>
          <w:rFonts w:hint="eastAsia" w:ascii="宋体" w:hAnsi="宋体" w:eastAsia="宋体" w:cs="宋体"/>
          <w:color w:val="auto"/>
          <w:kern w:val="0"/>
          <w:sz w:val="28"/>
          <w:szCs w:val="28"/>
          <w:highlight w:val="none"/>
          <w:lang w:val="en-US" w:eastAsia="zh-CN" w:bidi="ar"/>
        </w:rPr>
        <w:t>14</w:t>
      </w:r>
      <w:r>
        <w:rPr>
          <w:rFonts w:hint="eastAsia" w:ascii="宋体" w:hAnsi="宋体" w:eastAsia="宋体" w:cs="宋体"/>
          <w:color w:val="auto"/>
          <w:kern w:val="0"/>
          <w:sz w:val="28"/>
          <w:szCs w:val="28"/>
          <w:highlight w:val="none"/>
          <w:lang w:bidi="ar"/>
        </w:rPr>
        <w:t>:30，地点：</w:t>
      </w:r>
      <w:r>
        <w:rPr>
          <w:rFonts w:hint="eastAsia" w:ascii="宋体" w:hAnsi="宋体" w:eastAsia="宋体" w:cs="宋体"/>
          <w:color w:val="auto"/>
          <w:kern w:val="0"/>
          <w:sz w:val="28"/>
          <w:szCs w:val="28"/>
          <w:highlight w:val="none"/>
          <w:lang w:val="zh-CN" w:bidi="ar"/>
        </w:rPr>
        <w:t>靖江市西来镇丰产村通江路</w:t>
      </w:r>
      <w:r>
        <w:rPr>
          <w:rFonts w:hint="eastAsia" w:ascii="宋体" w:hAnsi="宋体" w:eastAsia="宋体" w:cs="宋体"/>
          <w:color w:val="auto"/>
          <w:kern w:val="0"/>
          <w:sz w:val="28"/>
          <w:szCs w:val="28"/>
          <w:highlight w:val="none"/>
          <w:lang w:bidi="ar"/>
        </w:rPr>
        <w:t>2</w:t>
      </w:r>
      <w:r>
        <w:rPr>
          <w:rFonts w:hint="eastAsia" w:ascii="宋体" w:hAnsi="宋体" w:eastAsia="宋体" w:cs="宋体"/>
          <w:color w:val="auto"/>
          <w:kern w:val="0"/>
          <w:sz w:val="28"/>
          <w:szCs w:val="28"/>
          <w:highlight w:val="none"/>
          <w:lang w:val="zh-CN" w:bidi="ar"/>
        </w:rPr>
        <w:t>号，</w:t>
      </w:r>
      <w:r>
        <w:rPr>
          <w:rFonts w:hint="eastAsia" w:ascii="宋体" w:hAnsi="宋体" w:eastAsia="宋体" w:cs="宋体"/>
          <w:color w:val="auto"/>
          <w:kern w:val="0"/>
          <w:sz w:val="28"/>
          <w:szCs w:val="28"/>
          <w:highlight w:val="none"/>
          <w:lang w:val="en-US" w:eastAsia="zh-CN" w:bidi="ar"/>
        </w:rPr>
        <w:t>三峰靖江港务物流有限责任公司五楼会议室。</w:t>
      </w:r>
    </w:p>
    <w:p w14:paraId="5BEC273F">
      <w:pPr>
        <w:widowControl/>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七、违约责任：按相关法律法规规定执行。</w:t>
      </w:r>
    </w:p>
    <w:p w14:paraId="4AB812D2">
      <w:pPr>
        <w:widowControl/>
        <w:jc w:val="lef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八、最终解释权归招标方所有。</w:t>
      </w:r>
    </w:p>
    <w:p w14:paraId="6D63AA1E">
      <w:pPr>
        <w:rPr>
          <w:rFonts w:ascii="宋体" w:hAnsi="宋体" w:eastAsia="宋体" w:cs="宋体"/>
          <w:color w:val="auto"/>
          <w:highlight w:val="none"/>
        </w:rPr>
      </w:pPr>
    </w:p>
    <w:p w14:paraId="0E7F8F5B">
      <w:pPr>
        <w:rPr>
          <w:rFonts w:ascii="宋体" w:hAnsi="宋体" w:eastAsia="宋体" w:cs="宋体"/>
          <w:color w:val="auto"/>
          <w:highlight w:val="none"/>
        </w:rPr>
      </w:pPr>
    </w:p>
    <w:p w14:paraId="40222A71">
      <w:pPr>
        <w:pStyle w:val="51"/>
        <w:rPr>
          <w:rFonts w:ascii="宋体" w:hAnsi="宋体" w:eastAsia="宋体" w:cs="宋体"/>
          <w:color w:val="auto"/>
          <w:highlight w:val="none"/>
        </w:rPr>
      </w:pPr>
    </w:p>
    <w:p w14:paraId="1C5AC67D">
      <w:pPr>
        <w:pStyle w:val="51"/>
        <w:rPr>
          <w:rFonts w:ascii="宋体" w:hAnsi="宋体" w:eastAsia="宋体" w:cs="宋体"/>
          <w:color w:val="auto"/>
          <w:highlight w:val="none"/>
        </w:rPr>
      </w:pPr>
    </w:p>
    <w:p w14:paraId="405AF09B">
      <w:pPr>
        <w:pStyle w:val="51"/>
        <w:rPr>
          <w:rFonts w:ascii="宋体" w:hAnsi="宋体" w:eastAsia="宋体" w:cs="宋体"/>
          <w:color w:val="auto"/>
          <w:highlight w:val="none"/>
        </w:rPr>
      </w:pPr>
    </w:p>
    <w:p w14:paraId="1A194A72">
      <w:pPr>
        <w:pStyle w:val="51"/>
        <w:rPr>
          <w:rFonts w:ascii="宋体" w:hAnsi="宋体" w:eastAsia="宋体" w:cs="宋体"/>
          <w:color w:val="auto"/>
          <w:highlight w:val="none"/>
        </w:rPr>
      </w:pPr>
    </w:p>
    <w:p w14:paraId="3688D9AC">
      <w:pPr>
        <w:pStyle w:val="51"/>
        <w:rPr>
          <w:rFonts w:ascii="宋体" w:hAnsi="宋体" w:eastAsia="宋体" w:cs="宋体"/>
          <w:color w:val="auto"/>
          <w:highlight w:val="none"/>
        </w:rPr>
      </w:pPr>
    </w:p>
    <w:p w14:paraId="29DCA987">
      <w:pPr>
        <w:pStyle w:val="51"/>
        <w:rPr>
          <w:rFonts w:ascii="宋体" w:hAnsi="宋体" w:eastAsia="宋体" w:cs="宋体"/>
          <w:color w:val="auto"/>
          <w:highlight w:val="none"/>
        </w:rPr>
      </w:pPr>
    </w:p>
    <w:p w14:paraId="2207D1D2">
      <w:pPr>
        <w:pStyle w:val="51"/>
        <w:rPr>
          <w:rFonts w:ascii="宋体" w:hAnsi="宋体" w:eastAsia="宋体" w:cs="宋体"/>
          <w:color w:val="auto"/>
          <w:highlight w:val="none"/>
        </w:rPr>
      </w:pPr>
    </w:p>
    <w:p w14:paraId="1391742E">
      <w:pPr>
        <w:pStyle w:val="51"/>
        <w:rPr>
          <w:rFonts w:ascii="宋体" w:hAnsi="宋体" w:eastAsia="宋体" w:cs="宋体"/>
          <w:color w:val="auto"/>
          <w:highlight w:val="none"/>
        </w:rPr>
      </w:pPr>
    </w:p>
    <w:p w14:paraId="132A29F0">
      <w:pPr>
        <w:pStyle w:val="51"/>
        <w:rPr>
          <w:rFonts w:ascii="宋体" w:hAnsi="宋体" w:eastAsia="宋体" w:cs="宋体"/>
          <w:color w:val="auto"/>
          <w:highlight w:val="none"/>
        </w:rPr>
      </w:pPr>
    </w:p>
    <w:p w14:paraId="26FAC4C2">
      <w:pPr>
        <w:pStyle w:val="51"/>
        <w:rPr>
          <w:rFonts w:ascii="宋体" w:hAnsi="宋体" w:eastAsia="宋体" w:cs="宋体"/>
          <w:color w:val="auto"/>
          <w:highlight w:val="none"/>
        </w:rPr>
      </w:pPr>
    </w:p>
    <w:p w14:paraId="020E3337">
      <w:pPr>
        <w:pStyle w:val="51"/>
        <w:rPr>
          <w:rFonts w:ascii="宋体" w:hAnsi="宋体" w:eastAsia="宋体" w:cs="宋体"/>
          <w:color w:val="auto"/>
          <w:highlight w:val="none"/>
        </w:rPr>
      </w:pPr>
    </w:p>
    <w:p w14:paraId="20D7F94C">
      <w:pPr>
        <w:pStyle w:val="51"/>
        <w:rPr>
          <w:rFonts w:ascii="宋体" w:hAnsi="宋体" w:eastAsia="宋体" w:cs="宋体"/>
          <w:color w:val="auto"/>
          <w:highlight w:val="none"/>
        </w:rPr>
      </w:pPr>
    </w:p>
    <w:p w14:paraId="0BD90047">
      <w:pPr>
        <w:pStyle w:val="51"/>
        <w:rPr>
          <w:rFonts w:ascii="宋体" w:hAnsi="宋体" w:eastAsia="宋体" w:cs="宋体"/>
          <w:color w:val="auto"/>
          <w:highlight w:val="none"/>
        </w:rPr>
      </w:pPr>
    </w:p>
    <w:p w14:paraId="637BDBB5">
      <w:pPr>
        <w:pStyle w:val="51"/>
        <w:rPr>
          <w:rFonts w:ascii="宋体" w:hAnsi="宋体" w:eastAsia="宋体" w:cs="宋体"/>
          <w:color w:val="auto"/>
          <w:highlight w:val="none"/>
        </w:rPr>
      </w:pPr>
    </w:p>
    <w:p w14:paraId="7441D19C">
      <w:pPr>
        <w:pStyle w:val="51"/>
        <w:rPr>
          <w:rFonts w:ascii="宋体" w:hAnsi="宋体" w:eastAsia="宋体" w:cs="宋体"/>
          <w:color w:val="auto"/>
          <w:highlight w:val="none"/>
        </w:rPr>
      </w:pPr>
    </w:p>
    <w:p w14:paraId="28809C30">
      <w:pPr>
        <w:pStyle w:val="51"/>
        <w:rPr>
          <w:rFonts w:ascii="宋体" w:hAnsi="宋体" w:eastAsia="宋体" w:cs="宋体"/>
          <w:color w:val="auto"/>
          <w:highlight w:val="none"/>
        </w:rPr>
      </w:pPr>
    </w:p>
    <w:p w14:paraId="62793D31">
      <w:pPr>
        <w:pStyle w:val="51"/>
        <w:ind w:left="0" w:leftChars="0" w:firstLine="0" w:firstLineChars="0"/>
        <w:rPr>
          <w:rFonts w:hint="eastAsia" w:ascii="宋体" w:hAnsi="宋体" w:cs="宋体"/>
          <w:color w:val="auto"/>
          <w:highlight w:val="none"/>
        </w:rPr>
      </w:pPr>
    </w:p>
    <w:p w14:paraId="53224AF1">
      <w:pPr>
        <w:pStyle w:val="51"/>
        <w:ind w:left="0" w:leftChars="0" w:firstLine="0" w:firstLineChars="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第二章 投标人须知</w:t>
      </w:r>
      <w:bookmarkEnd w:id="10"/>
      <w:bookmarkEnd w:id="11"/>
      <w:bookmarkEnd w:id="12"/>
      <w:bookmarkEnd w:id="13"/>
      <w:bookmarkEnd w:id="14"/>
    </w:p>
    <w:p w14:paraId="27166084">
      <w:pPr>
        <w:pStyle w:val="4"/>
        <w:rPr>
          <w:rFonts w:ascii="宋体" w:hAnsi="宋体" w:eastAsia="宋体" w:cs="宋体"/>
          <w:color w:val="auto"/>
          <w:highlight w:val="none"/>
        </w:rPr>
      </w:pPr>
      <w:r>
        <w:rPr>
          <w:rFonts w:hint="eastAsia" w:ascii="宋体" w:hAnsi="宋体" w:eastAsia="宋体" w:cs="宋体"/>
          <w:color w:val="auto"/>
          <w:highlight w:val="none"/>
        </w:rPr>
        <w:t>投标人须知前附表</w:t>
      </w:r>
    </w:p>
    <w:tbl>
      <w:tblPr>
        <w:tblStyle w:val="53"/>
        <w:tblW w:w="10062" w:type="dxa"/>
        <w:jc w:val="center"/>
        <w:tblLayout w:type="fixed"/>
        <w:tblCellMar>
          <w:top w:w="0" w:type="dxa"/>
          <w:left w:w="108" w:type="dxa"/>
          <w:bottom w:w="0" w:type="dxa"/>
          <w:right w:w="108" w:type="dxa"/>
        </w:tblCellMar>
      </w:tblPr>
      <w:tblGrid>
        <w:gridCol w:w="814"/>
        <w:gridCol w:w="15"/>
        <w:gridCol w:w="2883"/>
        <w:gridCol w:w="6350"/>
      </w:tblGrid>
      <w:tr w14:paraId="4DA70818">
        <w:tblPrEx>
          <w:tblCellMar>
            <w:top w:w="0" w:type="dxa"/>
            <w:left w:w="108" w:type="dxa"/>
            <w:bottom w:w="0" w:type="dxa"/>
            <w:right w:w="108" w:type="dxa"/>
          </w:tblCellMar>
        </w:tblPrEx>
        <w:trPr>
          <w:trHeight w:val="418"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0FBAF8C4">
            <w:pPr>
              <w:pStyle w:val="21"/>
              <w:jc w:val="center"/>
              <w:rPr>
                <w:b/>
                <w:color w:val="auto"/>
                <w:kern w:val="2"/>
                <w:sz w:val="21"/>
                <w:szCs w:val="22"/>
                <w:highlight w:val="none"/>
              </w:rPr>
            </w:pPr>
            <w:bookmarkStart w:id="29" w:name="_Toc275703046"/>
            <w:bookmarkStart w:id="30" w:name="_Toc179632546"/>
            <w:bookmarkStart w:id="31" w:name="_Toc152045529"/>
            <w:bookmarkStart w:id="32" w:name="_Toc152042305"/>
            <w:bookmarkStart w:id="33" w:name="_Toc144974497"/>
            <w:r>
              <w:rPr>
                <w:rFonts w:hint="eastAsia"/>
                <w:b/>
                <w:color w:val="auto"/>
                <w:kern w:val="2"/>
                <w:sz w:val="21"/>
                <w:szCs w:val="22"/>
                <w:highlight w:val="none"/>
              </w:rPr>
              <w:t>条款号</w:t>
            </w:r>
            <w:bookmarkEnd w:id="29"/>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728FFEAA">
            <w:pPr>
              <w:pStyle w:val="21"/>
              <w:jc w:val="center"/>
              <w:rPr>
                <w:b/>
                <w:color w:val="auto"/>
                <w:kern w:val="2"/>
                <w:sz w:val="21"/>
                <w:szCs w:val="22"/>
                <w:highlight w:val="none"/>
              </w:rPr>
            </w:pPr>
            <w:bookmarkStart w:id="34" w:name="_Toc275703047"/>
            <w:r>
              <w:rPr>
                <w:rFonts w:hint="eastAsia"/>
                <w:b/>
                <w:color w:val="auto"/>
                <w:kern w:val="2"/>
                <w:sz w:val="21"/>
                <w:szCs w:val="22"/>
                <w:highlight w:val="none"/>
              </w:rPr>
              <w:t>条  款  名  称</w:t>
            </w:r>
            <w:bookmarkEnd w:id="34"/>
          </w:p>
        </w:tc>
        <w:tc>
          <w:tcPr>
            <w:tcW w:w="6350" w:type="dxa"/>
            <w:tcBorders>
              <w:top w:val="single" w:color="auto" w:sz="4" w:space="0"/>
              <w:left w:val="single" w:color="auto" w:sz="4" w:space="0"/>
              <w:bottom w:val="single" w:color="auto" w:sz="4" w:space="0"/>
              <w:right w:val="single" w:color="auto" w:sz="4" w:space="0"/>
            </w:tcBorders>
            <w:vAlign w:val="center"/>
          </w:tcPr>
          <w:p w14:paraId="5D69AD76">
            <w:pPr>
              <w:pStyle w:val="21"/>
              <w:jc w:val="center"/>
              <w:rPr>
                <w:b/>
                <w:color w:val="auto"/>
                <w:kern w:val="2"/>
                <w:sz w:val="21"/>
                <w:szCs w:val="22"/>
                <w:highlight w:val="none"/>
              </w:rPr>
            </w:pPr>
            <w:bookmarkStart w:id="35" w:name="_Toc275703048"/>
            <w:r>
              <w:rPr>
                <w:rFonts w:hint="eastAsia"/>
                <w:b/>
                <w:color w:val="auto"/>
                <w:kern w:val="2"/>
                <w:sz w:val="21"/>
                <w:szCs w:val="22"/>
                <w:highlight w:val="none"/>
              </w:rPr>
              <w:t>编  列  内  容</w:t>
            </w:r>
            <w:bookmarkEnd w:id="35"/>
          </w:p>
        </w:tc>
      </w:tr>
      <w:tr w14:paraId="37749E73">
        <w:tblPrEx>
          <w:tblCellMar>
            <w:top w:w="0" w:type="dxa"/>
            <w:left w:w="108" w:type="dxa"/>
            <w:bottom w:w="0" w:type="dxa"/>
            <w:right w:w="108" w:type="dxa"/>
          </w:tblCellMar>
        </w:tblPrEx>
        <w:trPr>
          <w:trHeight w:val="75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7D658D63">
            <w:pPr>
              <w:pStyle w:val="21"/>
              <w:jc w:val="center"/>
              <w:rPr>
                <w:color w:val="auto"/>
                <w:kern w:val="2"/>
                <w:sz w:val="21"/>
                <w:szCs w:val="21"/>
                <w:highlight w:val="none"/>
              </w:rPr>
            </w:pPr>
            <w:bookmarkStart w:id="36" w:name="_Toc275703049"/>
            <w:r>
              <w:rPr>
                <w:rFonts w:hint="eastAsia"/>
                <w:color w:val="auto"/>
                <w:kern w:val="2"/>
                <w:sz w:val="21"/>
                <w:szCs w:val="21"/>
                <w:highlight w:val="none"/>
              </w:rPr>
              <w:t>1</w:t>
            </w:r>
            <w:bookmarkEnd w:id="36"/>
            <w:r>
              <w:rPr>
                <w:rFonts w:hint="eastAsia"/>
                <w:color w:val="auto"/>
                <w:kern w:val="2"/>
                <w:sz w:val="21"/>
                <w:szCs w:val="21"/>
                <w:highlight w:val="none"/>
              </w:rPr>
              <w:t>.1.2</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28611076">
            <w:pPr>
              <w:pStyle w:val="21"/>
              <w:jc w:val="center"/>
              <w:rPr>
                <w:color w:val="auto"/>
                <w:highlight w:val="none"/>
              </w:rPr>
            </w:pPr>
            <w:bookmarkStart w:id="37" w:name="_Toc275703050"/>
            <w:r>
              <w:rPr>
                <w:rFonts w:hint="eastAsia"/>
                <w:color w:val="auto"/>
                <w:highlight w:val="none"/>
              </w:rPr>
              <w:t>招标人</w:t>
            </w:r>
            <w:bookmarkEnd w:id="37"/>
          </w:p>
        </w:tc>
        <w:tc>
          <w:tcPr>
            <w:tcW w:w="6350" w:type="dxa"/>
            <w:tcBorders>
              <w:top w:val="single" w:color="auto" w:sz="4" w:space="0"/>
              <w:left w:val="single" w:color="auto" w:sz="4" w:space="0"/>
              <w:bottom w:val="single" w:color="auto" w:sz="4" w:space="0"/>
              <w:right w:val="single" w:color="auto" w:sz="4" w:space="0"/>
            </w:tcBorders>
            <w:vAlign w:val="center"/>
          </w:tcPr>
          <w:p w14:paraId="25FC2770">
            <w:pPr>
              <w:pStyle w:val="21"/>
              <w:rPr>
                <w:color w:val="auto"/>
                <w:highlight w:val="none"/>
              </w:rPr>
            </w:pPr>
            <w:bookmarkStart w:id="38" w:name="_Toc275703051"/>
            <w:r>
              <w:rPr>
                <w:rFonts w:hint="eastAsia"/>
                <w:color w:val="auto"/>
                <w:highlight w:val="none"/>
              </w:rPr>
              <w:t>名称：</w:t>
            </w:r>
            <w:bookmarkEnd w:id="38"/>
            <w:bookmarkStart w:id="39" w:name="_Toc275703052"/>
            <w:r>
              <w:rPr>
                <w:rFonts w:hint="eastAsia"/>
                <w:color w:val="auto"/>
                <w:highlight w:val="none"/>
              </w:rPr>
              <w:t>三峰靖江港务物流有限责任公司</w:t>
            </w:r>
          </w:p>
          <w:p w14:paraId="33005F88">
            <w:pPr>
              <w:pStyle w:val="21"/>
              <w:rPr>
                <w:color w:val="auto"/>
                <w:kern w:val="2"/>
                <w:sz w:val="21"/>
                <w:szCs w:val="21"/>
                <w:highlight w:val="none"/>
              </w:rPr>
            </w:pPr>
            <w:r>
              <w:rPr>
                <w:rFonts w:hint="eastAsia"/>
                <w:color w:val="auto"/>
                <w:highlight w:val="none"/>
              </w:rPr>
              <w:t>地址：</w:t>
            </w:r>
            <w:bookmarkEnd w:id="39"/>
            <w:r>
              <w:rPr>
                <w:rFonts w:hint="eastAsia"/>
                <w:color w:val="auto"/>
                <w:highlight w:val="none"/>
                <w:lang w:val="zh-CN"/>
              </w:rPr>
              <w:t>靖江市西来镇丰产村通江路</w:t>
            </w:r>
            <w:r>
              <w:rPr>
                <w:rFonts w:hint="eastAsia"/>
                <w:color w:val="auto"/>
                <w:highlight w:val="none"/>
              </w:rPr>
              <w:t>2</w:t>
            </w:r>
            <w:r>
              <w:rPr>
                <w:rFonts w:hint="eastAsia"/>
                <w:color w:val="auto"/>
                <w:highlight w:val="none"/>
                <w:lang w:val="zh-CN"/>
              </w:rPr>
              <w:t>号</w:t>
            </w:r>
          </w:p>
        </w:tc>
      </w:tr>
      <w:tr w14:paraId="1CD17974">
        <w:tblPrEx>
          <w:tblCellMar>
            <w:top w:w="0" w:type="dxa"/>
            <w:left w:w="108" w:type="dxa"/>
            <w:bottom w:w="0" w:type="dxa"/>
            <w:right w:w="108" w:type="dxa"/>
          </w:tblCellMar>
        </w:tblPrEx>
        <w:trPr>
          <w:trHeight w:val="150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0D934A89">
            <w:pPr>
              <w:pStyle w:val="21"/>
              <w:jc w:val="center"/>
              <w:rPr>
                <w:color w:val="auto"/>
                <w:kern w:val="2"/>
                <w:sz w:val="21"/>
                <w:szCs w:val="21"/>
                <w:highlight w:val="none"/>
              </w:rPr>
            </w:pPr>
            <w:bookmarkStart w:id="40" w:name="_Toc275703055"/>
            <w:r>
              <w:rPr>
                <w:rFonts w:hint="eastAsia"/>
                <w:color w:val="auto"/>
                <w:kern w:val="2"/>
                <w:sz w:val="21"/>
                <w:szCs w:val="21"/>
                <w:highlight w:val="none"/>
              </w:rPr>
              <w:t>1.1</w:t>
            </w:r>
            <w:bookmarkEnd w:id="40"/>
            <w:r>
              <w:rPr>
                <w:rFonts w:hint="eastAsia"/>
                <w:color w:val="auto"/>
                <w:kern w:val="2"/>
                <w:sz w:val="21"/>
                <w:szCs w:val="21"/>
                <w:highlight w:val="none"/>
              </w:rPr>
              <w:t>.3</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0D839B35">
            <w:pPr>
              <w:pStyle w:val="21"/>
              <w:jc w:val="center"/>
              <w:rPr>
                <w:color w:val="auto"/>
                <w:highlight w:val="none"/>
              </w:rPr>
            </w:pPr>
            <w:bookmarkStart w:id="41" w:name="_Toc275703056"/>
            <w:r>
              <w:rPr>
                <w:rFonts w:hint="eastAsia"/>
                <w:color w:val="auto"/>
                <w:highlight w:val="none"/>
              </w:rPr>
              <w:t>招标代理机构</w:t>
            </w:r>
            <w:bookmarkEnd w:id="41"/>
          </w:p>
        </w:tc>
        <w:tc>
          <w:tcPr>
            <w:tcW w:w="6350" w:type="dxa"/>
            <w:tcBorders>
              <w:top w:val="single" w:color="auto" w:sz="4" w:space="0"/>
              <w:left w:val="single" w:color="auto" w:sz="4" w:space="0"/>
              <w:bottom w:val="single" w:color="auto" w:sz="4" w:space="0"/>
              <w:right w:val="single" w:color="auto" w:sz="4" w:space="0"/>
            </w:tcBorders>
            <w:vAlign w:val="center"/>
          </w:tcPr>
          <w:p w14:paraId="57446DBD">
            <w:pPr>
              <w:pStyle w:val="21"/>
              <w:rPr>
                <w:rFonts w:hint="eastAsia" w:eastAsia="宋体"/>
                <w:color w:val="auto"/>
                <w:highlight w:val="none"/>
                <w:lang w:eastAsia="zh-CN"/>
              </w:rPr>
            </w:pPr>
            <w:bookmarkStart w:id="42" w:name="_Toc275703057"/>
            <w:r>
              <w:rPr>
                <w:rFonts w:hint="eastAsia"/>
                <w:color w:val="auto"/>
                <w:highlight w:val="none"/>
              </w:rPr>
              <w:t>名称：</w:t>
            </w:r>
            <w:bookmarkEnd w:id="42"/>
            <w:bookmarkStart w:id="43" w:name="_Toc275703058"/>
            <w:r>
              <w:rPr>
                <w:rFonts w:hint="eastAsia"/>
                <w:color w:val="auto"/>
                <w:highlight w:val="none"/>
                <w:lang w:eastAsia="zh-CN"/>
              </w:rPr>
              <w:t>江苏国兴建设项目管理有限公司</w:t>
            </w:r>
          </w:p>
          <w:p w14:paraId="036E608F">
            <w:pPr>
              <w:pStyle w:val="21"/>
              <w:rPr>
                <w:color w:val="auto"/>
                <w:highlight w:val="none"/>
              </w:rPr>
            </w:pPr>
            <w:r>
              <w:rPr>
                <w:rFonts w:hint="eastAsia"/>
                <w:color w:val="auto"/>
                <w:highlight w:val="none"/>
              </w:rPr>
              <w:t>地址：</w:t>
            </w:r>
            <w:bookmarkEnd w:id="43"/>
            <w:r>
              <w:rPr>
                <w:rFonts w:hint="eastAsia"/>
                <w:color w:val="auto"/>
                <w:highlight w:val="none"/>
              </w:rPr>
              <w:t>靖江市</w:t>
            </w:r>
            <w:bookmarkStart w:id="44" w:name="_Toc275703059"/>
            <w:r>
              <w:rPr>
                <w:rFonts w:hint="eastAsia"/>
                <w:color w:val="auto"/>
                <w:highlight w:val="none"/>
              </w:rPr>
              <w:t xml:space="preserve">人民中路163号医药大厦6楼 </w:t>
            </w:r>
          </w:p>
          <w:p w14:paraId="6808F38F">
            <w:pPr>
              <w:pStyle w:val="21"/>
              <w:rPr>
                <w:rFonts w:hint="default" w:eastAsia="宋体"/>
                <w:color w:val="auto"/>
                <w:kern w:val="2"/>
                <w:sz w:val="21"/>
                <w:szCs w:val="21"/>
                <w:highlight w:val="none"/>
                <w:lang w:val="en-US" w:eastAsia="zh-CN"/>
              </w:rPr>
            </w:pPr>
            <w:r>
              <w:rPr>
                <w:rFonts w:hint="eastAsia"/>
                <w:color w:val="auto"/>
                <w:highlight w:val="none"/>
              </w:rPr>
              <w:t>联系人：</w:t>
            </w:r>
            <w:bookmarkEnd w:id="44"/>
            <w:bookmarkStart w:id="45" w:name="_Toc275703060"/>
            <w:r>
              <w:rPr>
                <w:rFonts w:hint="eastAsia"/>
                <w:color w:val="auto"/>
                <w:highlight w:val="none"/>
                <w:lang w:val="en-US" w:eastAsia="zh-CN"/>
              </w:rPr>
              <w:t>侯女士</w:t>
            </w:r>
            <w:r>
              <w:rPr>
                <w:rFonts w:hint="eastAsia"/>
                <w:color w:val="auto"/>
                <w:highlight w:val="none"/>
              </w:rPr>
              <w:t xml:space="preserve">     电话：</w:t>
            </w:r>
            <w:bookmarkEnd w:id="45"/>
            <w:r>
              <w:rPr>
                <w:rFonts w:hint="eastAsia"/>
                <w:color w:val="auto"/>
                <w:highlight w:val="none"/>
                <w:lang w:val="en-US" w:eastAsia="zh-CN"/>
              </w:rPr>
              <w:t>18082348881</w:t>
            </w:r>
          </w:p>
        </w:tc>
      </w:tr>
      <w:tr w14:paraId="2B91C3B0">
        <w:tblPrEx>
          <w:tblCellMar>
            <w:top w:w="0" w:type="dxa"/>
            <w:left w:w="108" w:type="dxa"/>
            <w:bottom w:w="0" w:type="dxa"/>
            <w:right w:w="108" w:type="dxa"/>
          </w:tblCellMar>
        </w:tblPrEx>
        <w:trPr>
          <w:trHeight w:val="3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2C282876">
            <w:pPr>
              <w:pStyle w:val="21"/>
              <w:jc w:val="center"/>
              <w:rPr>
                <w:color w:val="auto"/>
                <w:kern w:val="2"/>
                <w:sz w:val="21"/>
                <w:szCs w:val="21"/>
                <w:highlight w:val="none"/>
              </w:rPr>
            </w:pPr>
            <w:bookmarkStart w:id="46" w:name="_Toc275703061"/>
            <w:r>
              <w:rPr>
                <w:rFonts w:hint="eastAsia"/>
                <w:color w:val="auto"/>
                <w:kern w:val="2"/>
                <w:sz w:val="21"/>
                <w:szCs w:val="21"/>
                <w:highlight w:val="none"/>
              </w:rPr>
              <w:t>1.</w:t>
            </w:r>
            <w:bookmarkEnd w:id="46"/>
            <w:r>
              <w:rPr>
                <w:rFonts w:hint="eastAsia"/>
                <w:color w:val="auto"/>
                <w:kern w:val="2"/>
                <w:sz w:val="21"/>
                <w:szCs w:val="21"/>
                <w:highlight w:val="none"/>
              </w:rPr>
              <w:t>1.4</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2118C69F">
            <w:pPr>
              <w:pStyle w:val="21"/>
              <w:jc w:val="center"/>
              <w:rPr>
                <w:color w:val="auto"/>
                <w:highlight w:val="none"/>
              </w:rPr>
            </w:pPr>
            <w:bookmarkStart w:id="47" w:name="_Toc275703062"/>
            <w:r>
              <w:rPr>
                <w:rFonts w:hint="eastAsia"/>
                <w:color w:val="auto"/>
                <w:highlight w:val="none"/>
              </w:rPr>
              <w:t>项目名称</w:t>
            </w:r>
            <w:bookmarkEnd w:id="47"/>
          </w:p>
        </w:tc>
        <w:tc>
          <w:tcPr>
            <w:tcW w:w="6350" w:type="dxa"/>
            <w:tcBorders>
              <w:top w:val="single" w:color="auto" w:sz="4" w:space="0"/>
              <w:left w:val="single" w:color="auto" w:sz="4" w:space="0"/>
              <w:bottom w:val="single" w:color="auto" w:sz="4" w:space="0"/>
              <w:right w:val="single" w:color="auto" w:sz="4" w:space="0"/>
            </w:tcBorders>
            <w:vAlign w:val="center"/>
          </w:tcPr>
          <w:p w14:paraId="2721E88D">
            <w:pPr>
              <w:spacing w:before="156" w:after="156"/>
              <w:jc w:val="both"/>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三峰靖江港务物流有限责任公司封闭式料仓设计</w:t>
            </w:r>
          </w:p>
        </w:tc>
      </w:tr>
      <w:tr w14:paraId="41F8420C">
        <w:tblPrEx>
          <w:tblCellMar>
            <w:top w:w="0" w:type="dxa"/>
            <w:left w:w="108" w:type="dxa"/>
            <w:bottom w:w="0" w:type="dxa"/>
            <w:right w:w="108" w:type="dxa"/>
          </w:tblCellMar>
        </w:tblPrEx>
        <w:trPr>
          <w:trHeight w:val="3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54B1FBA3">
            <w:pPr>
              <w:pStyle w:val="21"/>
              <w:jc w:val="center"/>
              <w:rPr>
                <w:color w:val="auto"/>
                <w:kern w:val="2"/>
                <w:sz w:val="21"/>
                <w:szCs w:val="21"/>
                <w:highlight w:val="none"/>
              </w:rPr>
            </w:pPr>
            <w:bookmarkStart w:id="48" w:name="_Toc275703064"/>
            <w:r>
              <w:rPr>
                <w:rFonts w:hint="eastAsia"/>
                <w:color w:val="auto"/>
                <w:kern w:val="2"/>
                <w:sz w:val="21"/>
                <w:szCs w:val="21"/>
                <w:highlight w:val="none"/>
              </w:rPr>
              <w:t>1.</w:t>
            </w:r>
            <w:bookmarkEnd w:id="48"/>
            <w:r>
              <w:rPr>
                <w:rFonts w:hint="eastAsia"/>
                <w:color w:val="auto"/>
                <w:kern w:val="2"/>
                <w:sz w:val="21"/>
                <w:szCs w:val="21"/>
                <w:highlight w:val="none"/>
              </w:rPr>
              <w:t>1.5</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57B10509">
            <w:pPr>
              <w:pStyle w:val="21"/>
              <w:jc w:val="center"/>
              <w:rPr>
                <w:color w:val="auto"/>
                <w:highlight w:val="none"/>
              </w:rPr>
            </w:pPr>
            <w:bookmarkStart w:id="49" w:name="_Toc275703065"/>
            <w:r>
              <w:rPr>
                <w:rFonts w:hint="eastAsia"/>
                <w:color w:val="auto"/>
                <w:highlight w:val="none"/>
              </w:rPr>
              <w:t>建设地点</w:t>
            </w:r>
            <w:bookmarkEnd w:id="49"/>
          </w:p>
        </w:tc>
        <w:tc>
          <w:tcPr>
            <w:tcW w:w="6350" w:type="dxa"/>
            <w:tcBorders>
              <w:top w:val="single" w:color="auto" w:sz="4" w:space="0"/>
              <w:left w:val="single" w:color="auto" w:sz="4" w:space="0"/>
              <w:bottom w:val="single" w:color="auto" w:sz="4" w:space="0"/>
              <w:right w:val="single" w:color="auto" w:sz="4" w:space="0"/>
            </w:tcBorders>
            <w:vAlign w:val="center"/>
          </w:tcPr>
          <w:p w14:paraId="47382D88">
            <w:pPr>
              <w:pStyle w:val="21"/>
              <w:rPr>
                <w:color w:val="auto"/>
                <w:highlight w:val="none"/>
              </w:rPr>
            </w:pPr>
            <w:r>
              <w:rPr>
                <w:rFonts w:hint="eastAsia"/>
                <w:color w:val="auto"/>
                <w:highlight w:val="none"/>
              </w:rPr>
              <w:t>靖江市西来镇</w:t>
            </w:r>
          </w:p>
        </w:tc>
      </w:tr>
      <w:tr w14:paraId="2D085F9C">
        <w:tblPrEx>
          <w:tblCellMar>
            <w:top w:w="0" w:type="dxa"/>
            <w:left w:w="108" w:type="dxa"/>
            <w:bottom w:w="0" w:type="dxa"/>
            <w:right w:w="108" w:type="dxa"/>
          </w:tblCellMar>
        </w:tblPrEx>
        <w:trPr>
          <w:trHeight w:val="3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699A91BC">
            <w:pPr>
              <w:pStyle w:val="21"/>
              <w:jc w:val="center"/>
              <w:rPr>
                <w:color w:val="auto"/>
                <w:kern w:val="2"/>
                <w:sz w:val="21"/>
                <w:szCs w:val="21"/>
                <w:highlight w:val="none"/>
              </w:rPr>
            </w:pPr>
            <w:bookmarkStart w:id="50" w:name="_Toc275703070"/>
            <w:r>
              <w:rPr>
                <w:rFonts w:hint="eastAsia"/>
                <w:color w:val="auto"/>
                <w:kern w:val="2"/>
                <w:sz w:val="21"/>
                <w:szCs w:val="21"/>
                <w:highlight w:val="none"/>
              </w:rPr>
              <w:t>1.</w:t>
            </w:r>
            <w:bookmarkEnd w:id="50"/>
            <w:r>
              <w:rPr>
                <w:rFonts w:hint="eastAsia"/>
                <w:color w:val="auto"/>
                <w:kern w:val="2"/>
                <w:sz w:val="21"/>
                <w:szCs w:val="21"/>
                <w:highlight w:val="none"/>
              </w:rPr>
              <w:t>2.3</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26F5FE15">
            <w:pPr>
              <w:pStyle w:val="21"/>
              <w:jc w:val="center"/>
              <w:rPr>
                <w:color w:val="auto"/>
                <w:highlight w:val="none"/>
              </w:rPr>
            </w:pPr>
            <w:bookmarkStart w:id="51" w:name="_Toc275703071"/>
            <w:r>
              <w:rPr>
                <w:rFonts w:hint="eastAsia"/>
                <w:color w:val="auto"/>
                <w:highlight w:val="none"/>
              </w:rPr>
              <w:t>资金落实情况</w:t>
            </w:r>
            <w:bookmarkEnd w:id="51"/>
          </w:p>
        </w:tc>
        <w:tc>
          <w:tcPr>
            <w:tcW w:w="6350" w:type="dxa"/>
            <w:tcBorders>
              <w:top w:val="single" w:color="auto" w:sz="4" w:space="0"/>
              <w:left w:val="single" w:color="auto" w:sz="4" w:space="0"/>
              <w:bottom w:val="single" w:color="auto" w:sz="4" w:space="0"/>
              <w:right w:val="single" w:color="auto" w:sz="4" w:space="0"/>
            </w:tcBorders>
            <w:vAlign w:val="center"/>
          </w:tcPr>
          <w:p w14:paraId="7F6688C0">
            <w:pPr>
              <w:pStyle w:val="21"/>
              <w:rPr>
                <w:color w:val="auto"/>
                <w:highlight w:val="none"/>
              </w:rPr>
            </w:pPr>
            <w:r>
              <w:rPr>
                <w:rFonts w:hint="eastAsia"/>
                <w:color w:val="auto"/>
                <w:highlight w:val="none"/>
              </w:rPr>
              <w:t>自筹</w:t>
            </w:r>
          </w:p>
        </w:tc>
      </w:tr>
      <w:tr w14:paraId="139E0BBB">
        <w:tblPrEx>
          <w:tblCellMar>
            <w:top w:w="0" w:type="dxa"/>
            <w:left w:w="108" w:type="dxa"/>
            <w:bottom w:w="0" w:type="dxa"/>
            <w:right w:w="108" w:type="dxa"/>
          </w:tblCellMar>
        </w:tblPrEx>
        <w:trPr>
          <w:trHeight w:val="3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6AFBB373">
            <w:pPr>
              <w:pStyle w:val="21"/>
              <w:jc w:val="center"/>
              <w:rPr>
                <w:color w:val="auto"/>
                <w:kern w:val="2"/>
                <w:sz w:val="21"/>
                <w:szCs w:val="21"/>
                <w:highlight w:val="none"/>
              </w:rPr>
            </w:pPr>
            <w:bookmarkStart w:id="52" w:name="_Toc275703073"/>
            <w:r>
              <w:rPr>
                <w:rFonts w:hint="eastAsia"/>
                <w:color w:val="auto"/>
                <w:kern w:val="2"/>
                <w:sz w:val="21"/>
                <w:szCs w:val="21"/>
                <w:highlight w:val="none"/>
              </w:rPr>
              <w:t>1.</w:t>
            </w:r>
            <w:bookmarkEnd w:id="52"/>
            <w:r>
              <w:rPr>
                <w:rFonts w:hint="eastAsia"/>
                <w:color w:val="auto"/>
                <w:kern w:val="2"/>
                <w:sz w:val="21"/>
                <w:szCs w:val="21"/>
                <w:highlight w:val="none"/>
              </w:rPr>
              <w:t>3.1</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1338D974">
            <w:pPr>
              <w:pStyle w:val="21"/>
              <w:jc w:val="center"/>
              <w:rPr>
                <w:color w:val="auto"/>
                <w:highlight w:val="none"/>
              </w:rPr>
            </w:pPr>
            <w:bookmarkStart w:id="53" w:name="_Toc275703074"/>
            <w:r>
              <w:rPr>
                <w:rFonts w:hint="eastAsia"/>
                <w:color w:val="auto"/>
                <w:highlight w:val="none"/>
              </w:rPr>
              <w:t>招标范围</w:t>
            </w:r>
            <w:bookmarkEnd w:id="53"/>
          </w:p>
        </w:tc>
        <w:tc>
          <w:tcPr>
            <w:tcW w:w="6350" w:type="dxa"/>
            <w:tcBorders>
              <w:top w:val="single" w:color="auto" w:sz="4" w:space="0"/>
              <w:left w:val="single" w:color="auto" w:sz="4" w:space="0"/>
              <w:bottom w:val="single" w:color="auto" w:sz="4" w:space="0"/>
              <w:right w:val="single" w:color="auto" w:sz="4" w:space="0"/>
            </w:tcBorders>
            <w:vAlign w:val="center"/>
          </w:tcPr>
          <w:p w14:paraId="01FD9357">
            <w:pPr>
              <w:pStyle w:val="21"/>
              <w:rPr>
                <w:color w:val="auto"/>
                <w:highlight w:val="none"/>
              </w:rPr>
            </w:pPr>
            <w:r>
              <w:rPr>
                <w:rFonts w:hint="eastAsia"/>
                <w:color w:val="auto"/>
                <w:highlight w:val="none"/>
              </w:rPr>
              <w:t>三峰港务码头</w:t>
            </w:r>
          </w:p>
        </w:tc>
      </w:tr>
      <w:tr w14:paraId="260B4A85">
        <w:tblPrEx>
          <w:tblCellMar>
            <w:top w:w="0" w:type="dxa"/>
            <w:left w:w="108" w:type="dxa"/>
            <w:bottom w:w="0" w:type="dxa"/>
            <w:right w:w="108" w:type="dxa"/>
          </w:tblCellMar>
        </w:tblPrEx>
        <w:trPr>
          <w:trHeight w:val="3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55CB3501">
            <w:pPr>
              <w:pStyle w:val="21"/>
              <w:jc w:val="center"/>
              <w:rPr>
                <w:color w:val="auto"/>
                <w:kern w:val="2"/>
                <w:sz w:val="21"/>
                <w:szCs w:val="21"/>
                <w:highlight w:val="none"/>
              </w:rPr>
            </w:pPr>
            <w:bookmarkStart w:id="54" w:name="_Toc275703075"/>
            <w:r>
              <w:rPr>
                <w:rFonts w:hint="eastAsia"/>
                <w:color w:val="auto"/>
                <w:kern w:val="2"/>
                <w:sz w:val="21"/>
                <w:szCs w:val="21"/>
                <w:highlight w:val="none"/>
              </w:rPr>
              <w:t>1.</w:t>
            </w:r>
            <w:bookmarkEnd w:id="54"/>
            <w:r>
              <w:rPr>
                <w:rFonts w:hint="eastAsia"/>
                <w:color w:val="auto"/>
                <w:kern w:val="2"/>
                <w:sz w:val="21"/>
                <w:szCs w:val="21"/>
                <w:highlight w:val="none"/>
              </w:rPr>
              <w:t>3.2</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0706ED20">
            <w:pPr>
              <w:pStyle w:val="21"/>
              <w:jc w:val="center"/>
              <w:rPr>
                <w:color w:val="auto"/>
                <w:highlight w:val="none"/>
              </w:rPr>
            </w:pPr>
            <w:bookmarkStart w:id="55" w:name="_Toc275703076"/>
            <w:r>
              <w:rPr>
                <w:rFonts w:hint="eastAsia"/>
                <w:color w:val="auto"/>
                <w:highlight w:val="none"/>
                <w:lang w:val="en-US" w:eastAsia="zh-CN"/>
              </w:rPr>
              <w:t>设计</w:t>
            </w:r>
            <w:r>
              <w:rPr>
                <w:rFonts w:hint="eastAsia"/>
                <w:color w:val="auto"/>
                <w:highlight w:val="none"/>
              </w:rPr>
              <w:t>期</w:t>
            </w:r>
            <w:bookmarkEnd w:id="55"/>
          </w:p>
        </w:tc>
        <w:tc>
          <w:tcPr>
            <w:tcW w:w="6350" w:type="dxa"/>
            <w:tcBorders>
              <w:top w:val="single" w:color="auto" w:sz="4" w:space="0"/>
              <w:left w:val="single" w:color="auto" w:sz="4" w:space="0"/>
              <w:bottom w:val="single" w:color="auto" w:sz="4" w:space="0"/>
              <w:right w:val="single" w:color="auto" w:sz="4" w:space="0"/>
            </w:tcBorders>
            <w:vAlign w:val="center"/>
          </w:tcPr>
          <w:p w14:paraId="2458AE6E">
            <w:pPr>
              <w:pStyle w:val="21"/>
              <w:rPr>
                <w:rFonts w:hint="default" w:eastAsia="宋体"/>
                <w:color w:val="auto"/>
                <w:highlight w:val="none"/>
                <w:lang w:val="en-US" w:eastAsia="zh-CN"/>
              </w:rPr>
            </w:pPr>
            <w:bookmarkStart w:id="56" w:name="EBf968361c88db47f98b6db2877dbfc14e"/>
            <w:bookmarkEnd w:id="56"/>
            <w:r>
              <w:rPr>
                <w:rFonts w:hint="eastAsia"/>
                <w:color w:val="auto"/>
                <w:highlight w:val="none"/>
                <w:lang w:val="en-US" w:eastAsia="zh-CN"/>
              </w:rPr>
              <w:t>40个日历日</w:t>
            </w:r>
          </w:p>
        </w:tc>
      </w:tr>
      <w:tr w14:paraId="4D737C96">
        <w:tblPrEx>
          <w:tblCellMar>
            <w:top w:w="0" w:type="dxa"/>
            <w:left w:w="108" w:type="dxa"/>
            <w:bottom w:w="0" w:type="dxa"/>
            <w:right w:w="108" w:type="dxa"/>
          </w:tblCellMar>
        </w:tblPrEx>
        <w:trPr>
          <w:trHeight w:val="75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28E9E83C">
            <w:pPr>
              <w:pStyle w:val="21"/>
              <w:jc w:val="center"/>
              <w:rPr>
                <w:color w:val="auto"/>
                <w:kern w:val="2"/>
                <w:sz w:val="21"/>
                <w:szCs w:val="21"/>
                <w:highlight w:val="none"/>
              </w:rPr>
            </w:pPr>
            <w:bookmarkStart w:id="57" w:name="_Toc275703080"/>
            <w:r>
              <w:rPr>
                <w:rFonts w:hint="eastAsia"/>
                <w:color w:val="auto"/>
                <w:kern w:val="2"/>
                <w:sz w:val="21"/>
                <w:szCs w:val="21"/>
                <w:highlight w:val="none"/>
              </w:rPr>
              <w:t>1.</w:t>
            </w:r>
            <w:bookmarkEnd w:id="57"/>
            <w:r>
              <w:rPr>
                <w:rFonts w:hint="eastAsia"/>
                <w:color w:val="auto"/>
                <w:kern w:val="2"/>
                <w:sz w:val="21"/>
                <w:szCs w:val="21"/>
                <w:highlight w:val="none"/>
              </w:rPr>
              <w:t>3.3</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0AB288C0">
            <w:pPr>
              <w:pStyle w:val="21"/>
              <w:jc w:val="center"/>
              <w:rPr>
                <w:color w:val="auto"/>
                <w:highlight w:val="none"/>
              </w:rPr>
            </w:pPr>
            <w:bookmarkStart w:id="58" w:name="_Toc275703081"/>
            <w:r>
              <w:rPr>
                <w:rFonts w:hint="eastAsia"/>
                <w:color w:val="auto"/>
                <w:highlight w:val="none"/>
              </w:rPr>
              <w:t>质量要求</w:t>
            </w:r>
            <w:bookmarkEnd w:id="58"/>
          </w:p>
        </w:tc>
        <w:tc>
          <w:tcPr>
            <w:tcW w:w="6350" w:type="dxa"/>
            <w:tcBorders>
              <w:top w:val="single" w:color="auto" w:sz="4" w:space="0"/>
              <w:left w:val="single" w:color="auto" w:sz="4" w:space="0"/>
              <w:bottom w:val="single" w:color="auto" w:sz="4" w:space="0"/>
              <w:right w:val="single" w:color="auto" w:sz="4" w:space="0"/>
            </w:tcBorders>
            <w:vAlign w:val="center"/>
          </w:tcPr>
          <w:p w14:paraId="6655900E">
            <w:pPr>
              <w:pStyle w:val="21"/>
              <w:rPr>
                <w:color w:val="auto"/>
                <w:highlight w:val="none"/>
              </w:rPr>
            </w:pPr>
            <w:r>
              <w:rPr>
                <w:rFonts w:hint="eastAsia"/>
                <w:color w:val="auto"/>
                <w:highlight w:val="none"/>
              </w:rPr>
              <w:t>质量标准：</w:t>
            </w:r>
            <w:bookmarkStart w:id="59" w:name="EB93c9d8af7abe4ab5af1a5facd7c81ccf"/>
            <w:r>
              <w:rPr>
                <w:rFonts w:hint="eastAsia"/>
                <w:color w:val="auto"/>
                <w:highlight w:val="none"/>
              </w:rPr>
              <w:t>合格</w:t>
            </w:r>
            <w:bookmarkEnd w:id="59"/>
          </w:p>
          <w:p w14:paraId="79D54C4C">
            <w:pPr>
              <w:pStyle w:val="21"/>
              <w:rPr>
                <w:color w:val="auto"/>
                <w:highlight w:val="none"/>
              </w:rPr>
            </w:pPr>
            <w:r>
              <w:rPr>
                <w:rFonts w:hint="eastAsia"/>
                <w:color w:val="auto"/>
                <w:highlight w:val="none"/>
              </w:rPr>
              <w:t>质量目标：</w:t>
            </w:r>
            <w:bookmarkStart w:id="60" w:name="EB8f40dc3459574906a636de31a39a4915"/>
            <w:r>
              <w:rPr>
                <w:rFonts w:hint="eastAsia"/>
                <w:color w:val="auto"/>
                <w:highlight w:val="none"/>
              </w:rPr>
              <w:t>合格</w:t>
            </w:r>
            <w:bookmarkEnd w:id="60"/>
          </w:p>
        </w:tc>
      </w:tr>
      <w:tr w14:paraId="7FDEEFB5">
        <w:tblPrEx>
          <w:tblCellMar>
            <w:top w:w="0" w:type="dxa"/>
            <w:left w:w="108" w:type="dxa"/>
            <w:bottom w:w="0" w:type="dxa"/>
            <w:right w:w="108" w:type="dxa"/>
          </w:tblCellMar>
        </w:tblPrEx>
        <w:trPr>
          <w:trHeight w:val="1634"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2818B76E">
            <w:pPr>
              <w:pStyle w:val="21"/>
              <w:jc w:val="center"/>
              <w:rPr>
                <w:color w:val="auto"/>
                <w:kern w:val="2"/>
                <w:sz w:val="21"/>
                <w:szCs w:val="21"/>
                <w:highlight w:val="none"/>
              </w:rPr>
            </w:pPr>
            <w:r>
              <w:rPr>
                <w:rFonts w:hint="eastAsia"/>
                <w:color w:val="auto"/>
                <w:kern w:val="2"/>
                <w:sz w:val="21"/>
                <w:szCs w:val="21"/>
                <w:highlight w:val="none"/>
              </w:rPr>
              <w:t>1.4.1</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5AEE110C">
            <w:pPr>
              <w:pStyle w:val="21"/>
              <w:jc w:val="center"/>
              <w:rPr>
                <w:color w:val="auto"/>
                <w:highlight w:val="none"/>
              </w:rPr>
            </w:pPr>
            <w:r>
              <w:rPr>
                <w:rFonts w:hint="eastAsia"/>
                <w:color w:val="auto"/>
                <w:highlight w:val="none"/>
              </w:rPr>
              <w:t>投标人资质条件、能力和信誉</w:t>
            </w:r>
          </w:p>
        </w:tc>
        <w:tc>
          <w:tcPr>
            <w:tcW w:w="6350" w:type="dxa"/>
            <w:tcBorders>
              <w:top w:val="single" w:color="auto" w:sz="4" w:space="0"/>
              <w:left w:val="single" w:color="auto" w:sz="4" w:space="0"/>
              <w:bottom w:val="single" w:color="auto" w:sz="4" w:space="0"/>
              <w:right w:val="single" w:color="auto" w:sz="4" w:space="0"/>
            </w:tcBorders>
            <w:vAlign w:val="center"/>
          </w:tcPr>
          <w:p w14:paraId="14B8C5FF">
            <w:pPr>
              <w:spacing w:before="156" w:after="156"/>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1、必须是独立的企业法人，并在上年度年检合格。</w:t>
            </w:r>
          </w:p>
          <w:p w14:paraId="43FA9199">
            <w:pPr>
              <w:spacing w:before="156" w:after="156"/>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2、必须具有工程设计水运行业（航道工程）专业甲级以及建筑工程设计甲级资质。</w:t>
            </w:r>
          </w:p>
          <w:p w14:paraId="5FF65A10">
            <w:pPr>
              <w:spacing w:before="156" w:after="156"/>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3、本次招标不接受联合体投标。</w:t>
            </w:r>
          </w:p>
          <w:p w14:paraId="6335CCB5">
            <w:pPr>
              <w:widowControl/>
              <w:jc w:val="left"/>
              <w:rPr>
                <w:rFonts w:ascii="宋体" w:hAnsi="宋体" w:eastAsia="宋体" w:cs="宋体"/>
                <w:color w:val="auto"/>
                <w:kern w:val="0"/>
                <w:sz w:val="24"/>
                <w:szCs w:val="24"/>
                <w:highlight w:val="none"/>
                <w:lang w:bidi="ar"/>
              </w:rPr>
            </w:pPr>
          </w:p>
        </w:tc>
      </w:tr>
      <w:tr w14:paraId="40B9922C">
        <w:tblPrEx>
          <w:tblCellMar>
            <w:top w:w="0" w:type="dxa"/>
            <w:left w:w="108" w:type="dxa"/>
            <w:bottom w:w="0" w:type="dxa"/>
            <w:right w:w="108" w:type="dxa"/>
          </w:tblCellMar>
        </w:tblPrEx>
        <w:trPr>
          <w:trHeight w:val="3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753B1497">
            <w:pPr>
              <w:pStyle w:val="21"/>
              <w:jc w:val="center"/>
              <w:rPr>
                <w:color w:val="auto"/>
                <w:kern w:val="2"/>
                <w:sz w:val="21"/>
                <w:szCs w:val="21"/>
                <w:highlight w:val="none"/>
              </w:rPr>
            </w:pPr>
            <w:r>
              <w:rPr>
                <w:rFonts w:hint="eastAsia"/>
                <w:color w:val="auto"/>
                <w:kern w:val="2"/>
                <w:sz w:val="21"/>
                <w:szCs w:val="21"/>
                <w:highlight w:val="none"/>
              </w:rPr>
              <w:t>2.2.1</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48441A39">
            <w:pPr>
              <w:pStyle w:val="21"/>
              <w:jc w:val="center"/>
              <w:rPr>
                <w:color w:val="auto"/>
                <w:highlight w:val="none"/>
              </w:rPr>
            </w:pPr>
            <w:r>
              <w:rPr>
                <w:rFonts w:hint="eastAsia"/>
                <w:color w:val="auto"/>
                <w:highlight w:val="none"/>
              </w:rPr>
              <w:t>投标截止时间</w:t>
            </w:r>
          </w:p>
        </w:tc>
        <w:tc>
          <w:tcPr>
            <w:tcW w:w="6350" w:type="dxa"/>
            <w:tcBorders>
              <w:top w:val="single" w:color="auto" w:sz="4" w:space="0"/>
              <w:left w:val="single" w:color="auto" w:sz="4" w:space="0"/>
              <w:bottom w:val="single" w:color="auto" w:sz="4" w:space="0"/>
              <w:right w:val="single" w:color="auto" w:sz="4" w:space="0"/>
            </w:tcBorders>
            <w:vAlign w:val="center"/>
          </w:tcPr>
          <w:p w14:paraId="402D34D3">
            <w:pPr>
              <w:pStyle w:val="47"/>
              <w:shd w:val="clear" w:color="auto" w:fill="FFFFFF"/>
              <w:spacing w:before="0" w:beforeAutospacing="0" w:after="0" w:afterAutospacing="0" w:line="360" w:lineRule="auto"/>
              <w:rPr>
                <w:color w:val="auto"/>
                <w:kern w:val="2"/>
                <w:sz w:val="21"/>
                <w:szCs w:val="21"/>
                <w:highlight w:val="none"/>
              </w:rPr>
            </w:pPr>
            <w:r>
              <w:rPr>
                <w:color w:val="auto"/>
                <w:kern w:val="2"/>
                <w:sz w:val="21"/>
                <w:szCs w:val="21"/>
                <w:highlight w:val="none"/>
              </w:rPr>
              <w:t>202</w:t>
            </w:r>
            <w:r>
              <w:rPr>
                <w:rFonts w:hint="eastAsia"/>
                <w:color w:val="auto"/>
                <w:kern w:val="2"/>
                <w:sz w:val="21"/>
                <w:szCs w:val="21"/>
                <w:highlight w:val="none"/>
                <w:lang w:val="en-US" w:eastAsia="zh-CN"/>
              </w:rPr>
              <w:t>4</w:t>
            </w:r>
            <w:r>
              <w:rPr>
                <w:color w:val="auto"/>
                <w:kern w:val="2"/>
                <w:sz w:val="21"/>
                <w:szCs w:val="21"/>
                <w:highlight w:val="none"/>
              </w:rPr>
              <w:t>年</w:t>
            </w:r>
            <w:r>
              <w:rPr>
                <w:rFonts w:hint="eastAsia"/>
                <w:color w:val="auto"/>
                <w:kern w:val="2"/>
                <w:sz w:val="21"/>
                <w:szCs w:val="21"/>
                <w:highlight w:val="none"/>
                <w:lang w:val="en-US" w:eastAsia="zh-CN"/>
              </w:rPr>
              <w:t>12</w:t>
            </w:r>
            <w:r>
              <w:rPr>
                <w:color w:val="auto"/>
                <w:kern w:val="2"/>
                <w:sz w:val="21"/>
                <w:szCs w:val="21"/>
                <w:highlight w:val="none"/>
              </w:rPr>
              <w:t>月</w:t>
            </w:r>
            <w:r>
              <w:rPr>
                <w:rFonts w:hint="eastAsia"/>
                <w:color w:val="auto"/>
                <w:kern w:val="2"/>
                <w:sz w:val="21"/>
                <w:szCs w:val="21"/>
                <w:highlight w:val="none"/>
                <w:lang w:val="en-US" w:eastAsia="zh-CN"/>
              </w:rPr>
              <w:t>16</w:t>
            </w:r>
            <w:r>
              <w:rPr>
                <w:rFonts w:hint="eastAsia"/>
                <w:color w:val="auto"/>
                <w:kern w:val="2"/>
                <w:sz w:val="21"/>
                <w:szCs w:val="21"/>
                <w:highlight w:val="none"/>
                <w:u w:val="none"/>
              </w:rPr>
              <w:t xml:space="preserve"> </w:t>
            </w:r>
            <w:r>
              <w:rPr>
                <w:color w:val="auto"/>
                <w:kern w:val="2"/>
                <w:sz w:val="21"/>
                <w:szCs w:val="21"/>
                <w:highlight w:val="none"/>
              </w:rPr>
              <w:t>日</w:t>
            </w:r>
            <w:r>
              <w:rPr>
                <w:rFonts w:hint="eastAsia"/>
                <w:color w:val="auto"/>
                <w:kern w:val="2"/>
                <w:sz w:val="21"/>
                <w:szCs w:val="21"/>
                <w:highlight w:val="none"/>
                <w:lang w:val="en-US" w:eastAsia="zh-CN"/>
              </w:rPr>
              <w:t>下午14</w:t>
            </w:r>
            <w:r>
              <w:rPr>
                <w:color w:val="auto"/>
                <w:kern w:val="2"/>
                <w:sz w:val="21"/>
                <w:szCs w:val="21"/>
                <w:highlight w:val="none"/>
              </w:rPr>
              <w:t>点</w:t>
            </w:r>
            <w:r>
              <w:rPr>
                <w:rFonts w:hint="eastAsia"/>
                <w:color w:val="auto"/>
                <w:kern w:val="2"/>
                <w:sz w:val="21"/>
                <w:szCs w:val="21"/>
                <w:highlight w:val="none"/>
              </w:rPr>
              <w:t>30</w:t>
            </w:r>
            <w:r>
              <w:rPr>
                <w:color w:val="auto"/>
                <w:kern w:val="2"/>
                <w:sz w:val="21"/>
                <w:szCs w:val="21"/>
                <w:highlight w:val="none"/>
              </w:rPr>
              <w:t>分（北京时间）</w:t>
            </w:r>
          </w:p>
        </w:tc>
      </w:tr>
      <w:tr w14:paraId="744AD87E">
        <w:tblPrEx>
          <w:tblCellMar>
            <w:top w:w="0" w:type="dxa"/>
            <w:left w:w="108" w:type="dxa"/>
            <w:bottom w:w="0" w:type="dxa"/>
            <w:right w:w="108" w:type="dxa"/>
          </w:tblCellMar>
        </w:tblPrEx>
        <w:trPr>
          <w:trHeight w:val="354"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1EC6DC98">
            <w:pPr>
              <w:pStyle w:val="21"/>
              <w:jc w:val="center"/>
              <w:rPr>
                <w:color w:val="auto"/>
                <w:kern w:val="2"/>
                <w:sz w:val="21"/>
                <w:szCs w:val="21"/>
                <w:highlight w:val="none"/>
              </w:rPr>
            </w:pPr>
            <w:r>
              <w:rPr>
                <w:rFonts w:hint="eastAsia"/>
                <w:color w:val="auto"/>
                <w:kern w:val="2"/>
                <w:sz w:val="21"/>
                <w:szCs w:val="21"/>
                <w:highlight w:val="none"/>
              </w:rPr>
              <w:t>3.2.2</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32E51C79">
            <w:pPr>
              <w:pStyle w:val="21"/>
              <w:jc w:val="center"/>
              <w:rPr>
                <w:color w:val="auto"/>
                <w:highlight w:val="none"/>
              </w:rPr>
            </w:pPr>
            <w:r>
              <w:rPr>
                <w:rFonts w:hint="eastAsia"/>
                <w:color w:val="auto"/>
                <w:highlight w:val="none"/>
              </w:rPr>
              <w:t>最高限价</w:t>
            </w:r>
          </w:p>
        </w:tc>
        <w:tc>
          <w:tcPr>
            <w:tcW w:w="6350" w:type="dxa"/>
            <w:tcBorders>
              <w:top w:val="single" w:color="auto" w:sz="4" w:space="0"/>
              <w:left w:val="single" w:color="auto" w:sz="4" w:space="0"/>
              <w:bottom w:val="single" w:color="auto" w:sz="4" w:space="0"/>
              <w:right w:val="single" w:color="auto" w:sz="4" w:space="0"/>
            </w:tcBorders>
            <w:vAlign w:val="center"/>
          </w:tcPr>
          <w:p w14:paraId="40830821">
            <w:pPr>
              <w:pStyle w:val="21"/>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90万元</w:t>
            </w:r>
          </w:p>
        </w:tc>
      </w:tr>
      <w:tr w14:paraId="3D4516F7">
        <w:tblPrEx>
          <w:tblCellMar>
            <w:top w:w="0" w:type="dxa"/>
            <w:left w:w="108" w:type="dxa"/>
            <w:bottom w:w="0" w:type="dxa"/>
            <w:right w:w="108" w:type="dxa"/>
          </w:tblCellMar>
        </w:tblPrEx>
        <w:trPr>
          <w:trHeight w:val="3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5F4B1EDA">
            <w:pPr>
              <w:pStyle w:val="21"/>
              <w:jc w:val="center"/>
              <w:rPr>
                <w:color w:val="auto"/>
                <w:kern w:val="2"/>
                <w:sz w:val="21"/>
                <w:szCs w:val="21"/>
                <w:highlight w:val="none"/>
              </w:rPr>
            </w:pPr>
            <w:r>
              <w:rPr>
                <w:rFonts w:hint="eastAsia"/>
                <w:color w:val="auto"/>
                <w:kern w:val="2"/>
                <w:sz w:val="21"/>
                <w:szCs w:val="21"/>
                <w:highlight w:val="none"/>
              </w:rPr>
              <w:t>3.2.3</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7501AB2F">
            <w:pPr>
              <w:pStyle w:val="21"/>
              <w:jc w:val="center"/>
              <w:rPr>
                <w:color w:val="auto"/>
                <w:highlight w:val="none"/>
              </w:rPr>
            </w:pPr>
            <w:r>
              <w:rPr>
                <w:rFonts w:hint="eastAsia"/>
                <w:color w:val="auto"/>
                <w:highlight w:val="none"/>
              </w:rPr>
              <w:t>合同形式</w:t>
            </w:r>
          </w:p>
        </w:tc>
        <w:tc>
          <w:tcPr>
            <w:tcW w:w="6350" w:type="dxa"/>
            <w:tcBorders>
              <w:top w:val="single" w:color="auto" w:sz="4" w:space="0"/>
              <w:left w:val="single" w:color="auto" w:sz="4" w:space="0"/>
              <w:bottom w:val="single" w:color="auto" w:sz="4" w:space="0"/>
              <w:right w:val="single" w:color="auto" w:sz="4" w:space="0"/>
            </w:tcBorders>
            <w:vAlign w:val="center"/>
          </w:tcPr>
          <w:p w14:paraId="52BE6239">
            <w:pPr>
              <w:pStyle w:val="21"/>
              <w:rPr>
                <w:color w:val="auto"/>
                <w:kern w:val="2"/>
                <w:sz w:val="21"/>
                <w:szCs w:val="21"/>
                <w:highlight w:val="none"/>
              </w:rPr>
            </w:pPr>
            <w:r>
              <w:rPr>
                <w:rFonts w:hint="eastAsia"/>
                <w:color w:val="auto"/>
                <w:sz w:val="21"/>
                <w:szCs w:val="21"/>
                <w:highlight w:val="none"/>
              </w:rPr>
              <w:t>固定</w:t>
            </w:r>
            <w:r>
              <w:rPr>
                <w:rFonts w:hint="eastAsia"/>
                <w:color w:val="auto"/>
                <w:sz w:val="21"/>
                <w:szCs w:val="21"/>
                <w:highlight w:val="none"/>
                <w:lang w:val="en-US" w:eastAsia="zh-CN"/>
              </w:rPr>
              <w:t>总价</w:t>
            </w:r>
            <w:r>
              <w:rPr>
                <w:rFonts w:hint="eastAsia"/>
                <w:color w:val="auto"/>
                <w:sz w:val="21"/>
                <w:szCs w:val="21"/>
                <w:highlight w:val="none"/>
              </w:rPr>
              <w:t>合同</w:t>
            </w:r>
          </w:p>
        </w:tc>
      </w:tr>
      <w:tr w14:paraId="49911F54">
        <w:tblPrEx>
          <w:tblCellMar>
            <w:top w:w="0" w:type="dxa"/>
            <w:left w:w="108" w:type="dxa"/>
            <w:bottom w:w="0" w:type="dxa"/>
            <w:right w:w="108" w:type="dxa"/>
          </w:tblCellMar>
        </w:tblPrEx>
        <w:trPr>
          <w:trHeight w:val="38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077657F9">
            <w:pPr>
              <w:pStyle w:val="21"/>
              <w:jc w:val="center"/>
              <w:rPr>
                <w:color w:val="auto"/>
                <w:kern w:val="2"/>
                <w:sz w:val="21"/>
                <w:szCs w:val="21"/>
                <w:highlight w:val="none"/>
              </w:rPr>
            </w:pPr>
            <w:r>
              <w:rPr>
                <w:rFonts w:hint="eastAsia"/>
                <w:color w:val="auto"/>
                <w:kern w:val="2"/>
                <w:sz w:val="21"/>
                <w:szCs w:val="21"/>
                <w:highlight w:val="none"/>
              </w:rPr>
              <w:t>3.3.1</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00FF5AC4">
            <w:pPr>
              <w:pStyle w:val="21"/>
              <w:jc w:val="center"/>
              <w:rPr>
                <w:color w:val="auto"/>
                <w:highlight w:val="none"/>
              </w:rPr>
            </w:pPr>
            <w:bookmarkStart w:id="61" w:name="_Toc275703144"/>
            <w:r>
              <w:rPr>
                <w:rFonts w:hint="eastAsia"/>
                <w:color w:val="auto"/>
                <w:highlight w:val="none"/>
              </w:rPr>
              <w:t>投标有效期</w:t>
            </w:r>
            <w:bookmarkEnd w:id="61"/>
          </w:p>
        </w:tc>
        <w:tc>
          <w:tcPr>
            <w:tcW w:w="6350" w:type="dxa"/>
            <w:tcBorders>
              <w:top w:val="single" w:color="auto" w:sz="4" w:space="0"/>
              <w:left w:val="single" w:color="auto" w:sz="4" w:space="0"/>
              <w:bottom w:val="single" w:color="auto" w:sz="4" w:space="0"/>
              <w:right w:val="single" w:color="auto" w:sz="4" w:space="0"/>
            </w:tcBorders>
            <w:vAlign w:val="center"/>
          </w:tcPr>
          <w:p w14:paraId="2A77FCEA">
            <w:pPr>
              <w:pStyle w:val="21"/>
              <w:rPr>
                <w:color w:val="auto"/>
                <w:kern w:val="2"/>
                <w:sz w:val="21"/>
                <w:szCs w:val="21"/>
                <w:highlight w:val="none"/>
              </w:rPr>
            </w:pPr>
            <w:bookmarkStart w:id="62" w:name="_Toc275703145"/>
            <w:r>
              <w:rPr>
                <w:rFonts w:hint="eastAsia"/>
                <w:color w:val="auto"/>
                <w:kern w:val="2"/>
                <w:sz w:val="21"/>
                <w:szCs w:val="21"/>
                <w:highlight w:val="none"/>
              </w:rPr>
              <w:t>自投标人提交投标文件截止之日起计算</w:t>
            </w:r>
            <w:bookmarkStart w:id="63" w:name="EB6bd1f7092c9547669f40d478ac8b68d2"/>
            <w:r>
              <w:rPr>
                <w:rFonts w:hint="eastAsia"/>
                <w:color w:val="auto"/>
                <w:kern w:val="2"/>
                <w:sz w:val="21"/>
                <w:szCs w:val="21"/>
                <w:highlight w:val="none"/>
                <w:u w:val="single"/>
              </w:rPr>
              <w:t>60</w:t>
            </w:r>
            <w:bookmarkEnd w:id="63"/>
            <w:r>
              <w:rPr>
                <w:rFonts w:hint="eastAsia"/>
                <w:color w:val="auto"/>
                <w:kern w:val="2"/>
                <w:sz w:val="21"/>
                <w:szCs w:val="21"/>
                <w:highlight w:val="none"/>
              </w:rPr>
              <w:t>天</w:t>
            </w:r>
            <w:bookmarkEnd w:id="62"/>
          </w:p>
        </w:tc>
      </w:tr>
      <w:tr w14:paraId="1641F1DC">
        <w:tblPrEx>
          <w:tblCellMar>
            <w:top w:w="0" w:type="dxa"/>
            <w:left w:w="108" w:type="dxa"/>
            <w:bottom w:w="0" w:type="dxa"/>
            <w:right w:w="108" w:type="dxa"/>
          </w:tblCellMar>
        </w:tblPrEx>
        <w:trPr>
          <w:trHeight w:val="757"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31787466">
            <w:pPr>
              <w:pStyle w:val="21"/>
              <w:jc w:val="center"/>
              <w:rPr>
                <w:color w:val="auto"/>
                <w:kern w:val="2"/>
                <w:sz w:val="21"/>
                <w:szCs w:val="21"/>
                <w:highlight w:val="none"/>
              </w:rPr>
            </w:pPr>
            <w:r>
              <w:rPr>
                <w:rFonts w:hint="eastAsia"/>
                <w:color w:val="auto"/>
                <w:kern w:val="2"/>
                <w:sz w:val="21"/>
                <w:szCs w:val="21"/>
                <w:highlight w:val="none"/>
              </w:rPr>
              <w:t>5.1</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57B2BE1F">
            <w:pPr>
              <w:pStyle w:val="21"/>
              <w:jc w:val="center"/>
              <w:rPr>
                <w:color w:val="auto"/>
                <w:highlight w:val="none"/>
              </w:rPr>
            </w:pPr>
            <w:bookmarkStart w:id="64" w:name="_Toc275703184"/>
            <w:r>
              <w:rPr>
                <w:rFonts w:hint="eastAsia"/>
                <w:color w:val="auto"/>
                <w:highlight w:val="none"/>
              </w:rPr>
              <w:t>开标时间和地点</w:t>
            </w:r>
            <w:bookmarkEnd w:id="64"/>
          </w:p>
        </w:tc>
        <w:tc>
          <w:tcPr>
            <w:tcW w:w="6350" w:type="dxa"/>
            <w:tcBorders>
              <w:top w:val="single" w:color="auto" w:sz="4" w:space="0"/>
              <w:left w:val="single" w:color="auto" w:sz="4" w:space="0"/>
              <w:bottom w:val="single" w:color="auto" w:sz="4" w:space="0"/>
              <w:right w:val="single" w:color="auto" w:sz="4" w:space="0"/>
            </w:tcBorders>
            <w:vAlign w:val="center"/>
          </w:tcPr>
          <w:p w14:paraId="493860CE">
            <w:pPr>
              <w:pStyle w:val="21"/>
              <w:rPr>
                <w:rFonts w:hint="default"/>
                <w:b/>
                <w:color w:val="auto"/>
                <w:kern w:val="2"/>
                <w:sz w:val="21"/>
                <w:szCs w:val="21"/>
                <w:highlight w:val="none"/>
                <w:lang w:val="en-US"/>
              </w:rPr>
            </w:pPr>
            <w:bookmarkStart w:id="65" w:name="_Toc275703185"/>
            <w:r>
              <w:rPr>
                <w:rFonts w:hint="eastAsia"/>
                <w:color w:val="auto"/>
                <w:kern w:val="2"/>
                <w:sz w:val="21"/>
                <w:szCs w:val="21"/>
                <w:highlight w:val="none"/>
              </w:rPr>
              <w:t>开标时间：</w:t>
            </w:r>
            <w:bookmarkEnd w:id="65"/>
            <w:bookmarkStart w:id="66" w:name="EB10f1170d12104e22afa7e18059c6dcec"/>
            <w:bookmarkEnd w:id="66"/>
            <w:r>
              <w:rPr>
                <w:rFonts w:hint="eastAsia"/>
                <w:b/>
                <w:color w:val="auto"/>
                <w:kern w:val="2"/>
                <w:sz w:val="21"/>
                <w:szCs w:val="21"/>
                <w:highlight w:val="none"/>
              </w:rPr>
              <w:t>202</w:t>
            </w:r>
            <w:r>
              <w:rPr>
                <w:rFonts w:hint="eastAsia"/>
                <w:b/>
                <w:color w:val="auto"/>
                <w:kern w:val="2"/>
                <w:sz w:val="21"/>
                <w:szCs w:val="21"/>
                <w:highlight w:val="none"/>
                <w:lang w:val="en-US" w:eastAsia="zh-CN"/>
              </w:rPr>
              <w:t>4</w:t>
            </w:r>
            <w:r>
              <w:rPr>
                <w:rFonts w:hint="eastAsia"/>
                <w:b/>
                <w:color w:val="auto"/>
                <w:kern w:val="2"/>
                <w:sz w:val="21"/>
                <w:szCs w:val="21"/>
                <w:highlight w:val="none"/>
              </w:rPr>
              <w:t>年</w:t>
            </w:r>
            <w:r>
              <w:rPr>
                <w:rFonts w:hint="eastAsia"/>
                <w:b/>
                <w:color w:val="auto"/>
                <w:kern w:val="2"/>
                <w:sz w:val="21"/>
                <w:szCs w:val="21"/>
                <w:highlight w:val="none"/>
                <w:lang w:val="en-US" w:eastAsia="zh-CN"/>
              </w:rPr>
              <w:t>12</w:t>
            </w:r>
            <w:r>
              <w:rPr>
                <w:rFonts w:hint="eastAsia"/>
                <w:b/>
                <w:color w:val="auto"/>
                <w:kern w:val="2"/>
                <w:sz w:val="21"/>
                <w:szCs w:val="21"/>
                <w:highlight w:val="none"/>
              </w:rPr>
              <w:t xml:space="preserve">月 </w:t>
            </w:r>
            <w:r>
              <w:rPr>
                <w:rFonts w:hint="eastAsia"/>
                <w:b/>
                <w:color w:val="auto"/>
                <w:kern w:val="2"/>
                <w:sz w:val="21"/>
                <w:szCs w:val="21"/>
                <w:highlight w:val="none"/>
                <w:lang w:val="en-US" w:eastAsia="zh-CN"/>
              </w:rPr>
              <w:t>16</w:t>
            </w:r>
            <w:r>
              <w:rPr>
                <w:rFonts w:hint="eastAsia"/>
                <w:b/>
                <w:color w:val="auto"/>
                <w:kern w:val="2"/>
                <w:sz w:val="21"/>
                <w:szCs w:val="21"/>
                <w:highlight w:val="none"/>
              </w:rPr>
              <w:t>日</w:t>
            </w:r>
            <w:r>
              <w:rPr>
                <w:rFonts w:hint="eastAsia"/>
                <w:b/>
                <w:color w:val="auto"/>
                <w:kern w:val="2"/>
                <w:sz w:val="21"/>
                <w:szCs w:val="21"/>
                <w:highlight w:val="none"/>
                <w:lang w:val="en-US" w:eastAsia="zh-CN"/>
              </w:rPr>
              <w:t xml:space="preserve"> 下午 14:30</w:t>
            </w:r>
          </w:p>
          <w:p w14:paraId="7037D6D4">
            <w:pPr>
              <w:pStyle w:val="21"/>
              <w:rPr>
                <w:color w:val="auto"/>
                <w:kern w:val="2"/>
                <w:sz w:val="21"/>
                <w:szCs w:val="21"/>
                <w:highlight w:val="none"/>
              </w:rPr>
            </w:pPr>
            <w:r>
              <w:rPr>
                <w:rFonts w:hint="eastAsia"/>
                <w:color w:val="auto"/>
                <w:kern w:val="2"/>
                <w:sz w:val="21"/>
                <w:szCs w:val="21"/>
                <w:highlight w:val="none"/>
              </w:rPr>
              <w:t>开标地点：三峰靖江港务物流有限责任公司</w:t>
            </w:r>
            <w:r>
              <w:rPr>
                <w:color w:val="auto"/>
                <w:kern w:val="2"/>
                <w:sz w:val="21"/>
                <w:szCs w:val="21"/>
                <w:highlight w:val="none"/>
              </w:rPr>
              <w:t>办公楼</w:t>
            </w:r>
            <w:r>
              <w:rPr>
                <w:rFonts w:hint="eastAsia"/>
                <w:color w:val="auto"/>
                <w:kern w:val="2"/>
                <w:sz w:val="21"/>
                <w:szCs w:val="21"/>
                <w:highlight w:val="none"/>
              </w:rPr>
              <w:t>5</w:t>
            </w:r>
            <w:r>
              <w:rPr>
                <w:rFonts w:hint="eastAsia"/>
                <w:color w:val="auto"/>
                <w:kern w:val="2"/>
                <w:sz w:val="21"/>
                <w:szCs w:val="21"/>
                <w:highlight w:val="none"/>
              </w:rPr>
              <w:t>楼</w:t>
            </w:r>
          </w:p>
        </w:tc>
      </w:tr>
      <w:tr w14:paraId="3A824037">
        <w:tblPrEx>
          <w:tblCellMar>
            <w:top w:w="0" w:type="dxa"/>
            <w:left w:w="108" w:type="dxa"/>
            <w:bottom w:w="0" w:type="dxa"/>
            <w:right w:w="108" w:type="dxa"/>
          </w:tblCellMar>
        </w:tblPrEx>
        <w:trPr>
          <w:trHeight w:val="643"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4DB13992">
            <w:pPr>
              <w:pStyle w:val="21"/>
              <w:jc w:val="center"/>
              <w:rPr>
                <w:color w:val="auto"/>
                <w:kern w:val="2"/>
                <w:sz w:val="21"/>
                <w:szCs w:val="21"/>
                <w:highlight w:val="none"/>
              </w:rPr>
            </w:pPr>
            <w:bookmarkStart w:id="67" w:name="_Toc275703194"/>
            <w:r>
              <w:rPr>
                <w:rFonts w:hint="eastAsia"/>
                <w:color w:val="auto"/>
                <w:kern w:val="2"/>
                <w:sz w:val="21"/>
                <w:szCs w:val="21"/>
                <w:highlight w:val="none"/>
              </w:rPr>
              <w:t>6.3</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52C9CD08">
            <w:pPr>
              <w:pStyle w:val="21"/>
              <w:jc w:val="center"/>
              <w:rPr>
                <w:color w:val="auto"/>
                <w:highlight w:val="none"/>
              </w:rPr>
            </w:pPr>
            <w:r>
              <w:rPr>
                <w:rFonts w:hint="eastAsia"/>
                <w:color w:val="auto"/>
                <w:highlight w:val="none"/>
              </w:rPr>
              <w:t>评标办法</w:t>
            </w:r>
          </w:p>
        </w:tc>
        <w:tc>
          <w:tcPr>
            <w:tcW w:w="6350" w:type="dxa"/>
            <w:tcBorders>
              <w:top w:val="single" w:color="auto" w:sz="4" w:space="0"/>
              <w:left w:val="single" w:color="auto" w:sz="4" w:space="0"/>
              <w:bottom w:val="single" w:color="auto" w:sz="4" w:space="0"/>
              <w:right w:val="single" w:color="auto" w:sz="4" w:space="0"/>
            </w:tcBorders>
            <w:vAlign w:val="center"/>
          </w:tcPr>
          <w:p w14:paraId="3DAAADB0">
            <w:pPr>
              <w:pStyle w:val="21"/>
              <w:rPr>
                <w:color w:val="auto"/>
                <w:kern w:val="2"/>
                <w:sz w:val="21"/>
                <w:szCs w:val="21"/>
                <w:highlight w:val="none"/>
              </w:rPr>
            </w:pPr>
            <w:bookmarkStart w:id="68" w:name="EB883cc73ca71241f28fdf4c7b84a889b4"/>
            <w:r>
              <w:rPr>
                <w:rFonts w:hint="eastAsia"/>
                <w:color w:val="auto"/>
                <w:kern w:val="2"/>
                <w:sz w:val="21"/>
                <w:szCs w:val="21"/>
                <w:highlight w:val="none"/>
              </w:rPr>
              <w:t xml:space="preserve"> </w:t>
            </w:r>
            <w:r>
              <w:rPr>
                <w:rFonts w:hint="eastAsia"/>
                <w:color w:val="auto"/>
                <w:kern w:val="2"/>
                <w:sz w:val="21"/>
                <w:szCs w:val="21"/>
                <w:highlight w:val="none"/>
              </w:rPr>
              <w:sym w:font="Wingdings 2" w:char="0052"/>
            </w:r>
            <w:r>
              <w:rPr>
                <w:rFonts w:hint="eastAsia"/>
                <w:color w:val="auto"/>
                <w:kern w:val="2"/>
                <w:sz w:val="21"/>
                <w:szCs w:val="21"/>
                <w:highlight w:val="none"/>
              </w:rPr>
              <w:t>综合评估法□</w:t>
            </w:r>
            <w:r>
              <w:rPr>
                <w:rFonts w:hint="eastAsia"/>
                <w:color w:val="auto"/>
                <w:kern w:val="2"/>
                <w:sz w:val="21"/>
                <w:szCs w:val="21"/>
                <w:highlight w:val="none"/>
              </w:rPr>
              <w:t>合理低价法</w:t>
            </w:r>
            <w:r>
              <w:rPr>
                <w:rFonts w:hint="eastAsia"/>
                <w:color w:val="auto"/>
                <w:kern w:val="2"/>
                <w:sz w:val="21"/>
                <w:szCs w:val="21"/>
                <w:highlight w:val="none"/>
                <w:lang w:eastAsia="zh-CN"/>
              </w:rPr>
              <w:t>□</w:t>
            </w:r>
            <w:r>
              <w:rPr>
                <w:rFonts w:hint="eastAsia"/>
                <w:color w:val="auto"/>
                <w:kern w:val="2"/>
                <w:sz w:val="21"/>
                <w:szCs w:val="21"/>
                <w:highlight w:val="none"/>
              </w:rPr>
              <w:t>经评审的最低投标价法□合理价随机确定中标人法</w:t>
            </w:r>
            <w:bookmarkEnd w:id="68"/>
          </w:p>
        </w:tc>
      </w:tr>
      <w:tr w14:paraId="329822D6">
        <w:tblPrEx>
          <w:tblCellMar>
            <w:top w:w="0" w:type="dxa"/>
            <w:left w:w="108" w:type="dxa"/>
            <w:bottom w:w="0" w:type="dxa"/>
            <w:right w:w="108" w:type="dxa"/>
          </w:tblCellMar>
        </w:tblPrEx>
        <w:trPr>
          <w:trHeight w:val="2121"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14:paraId="6B5AFCFA">
            <w:pPr>
              <w:pStyle w:val="21"/>
              <w:jc w:val="center"/>
              <w:rPr>
                <w:color w:val="auto"/>
                <w:kern w:val="2"/>
                <w:sz w:val="21"/>
                <w:szCs w:val="21"/>
                <w:highlight w:val="none"/>
              </w:rPr>
            </w:pPr>
            <w:r>
              <w:rPr>
                <w:rFonts w:hint="eastAsia"/>
                <w:color w:val="auto"/>
                <w:kern w:val="2"/>
                <w:sz w:val="21"/>
                <w:szCs w:val="21"/>
                <w:highlight w:val="none"/>
              </w:rPr>
              <w:t>7.3.1</w:t>
            </w:r>
          </w:p>
        </w:tc>
        <w:tc>
          <w:tcPr>
            <w:tcW w:w="2898" w:type="dxa"/>
            <w:gridSpan w:val="2"/>
            <w:tcBorders>
              <w:top w:val="single" w:color="auto" w:sz="4" w:space="0"/>
              <w:left w:val="single" w:color="auto" w:sz="4" w:space="0"/>
              <w:bottom w:val="single" w:color="auto" w:sz="4" w:space="0"/>
              <w:right w:val="single" w:color="auto" w:sz="4" w:space="0"/>
            </w:tcBorders>
            <w:vAlign w:val="center"/>
          </w:tcPr>
          <w:p w14:paraId="0F70AC5E">
            <w:pPr>
              <w:pStyle w:val="21"/>
              <w:ind w:firstLine="480" w:firstLineChars="200"/>
              <w:rPr>
                <w:color w:val="auto"/>
                <w:highlight w:val="none"/>
              </w:rPr>
            </w:pPr>
            <w:r>
              <w:rPr>
                <w:rFonts w:hint="eastAsia"/>
                <w:color w:val="auto"/>
                <w:highlight w:val="none"/>
              </w:rPr>
              <w:t>代理服务费</w:t>
            </w:r>
          </w:p>
          <w:p w14:paraId="1D2F5ECB">
            <w:pPr>
              <w:pStyle w:val="21"/>
              <w:ind w:firstLine="720" w:firstLineChars="300"/>
              <w:rPr>
                <w:color w:val="auto"/>
                <w:highlight w:val="none"/>
              </w:rPr>
            </w:pPr>
            <w:r>
              <w:rPr>
                <w:rFonts w:hint="eastAsia"/>
                <w:color w:val="auto"/>
                <w:highlight w:val="none"/>
              </w:rPr>
              <w:t>收取标准</w:t>
            </w:r>
          </w:p>
        </w:tc>
        <w:tc>
          <w:tcPr>
            <w:tcW w:w="6350" w:type="dxa"/>
            <w:tcBorders>
              <w:top w:val="single" w:color="auto" w:sz="4" w:space="0"/>
              <w:left w:val="single" w:color="auto" w:sz="4" w:space="0"/>
              <w:bottom w:val="single" w:color="auto" w:sz="4" w:space="0"/>
              <w:right w:val="single" w:color="auto" w:sz="4" w:space="0"/>
            </w:tcBorders>
            <w:vAlign w:val="center"/>
          </w:tcPr>
          <w:p w14:paraId="66A59F40">
            <w:pPr>
              <w:pStyle w:val="21"/>
              <w:rPr>
                <w:color w:val="auto"/>
                <w:sz w:val="21"/>
                <w:szCs w:val="21"/>
                <w:highlight w:val="none"/>
              </w:rPr>
            </w:pPr>
            <w:r>
              <w:rPr>
                <w:rFonts w:hint="eastAsia"/>
                <w:color w:val="auto"/>
                <w:kern w:val="2"/>
                <w:sz w:val="21"/>
                <w:szCs w:val="21"/>
                <w:highlight w:val="none"/>
                <w:lang w:val="zh-CN" w:eastAsia="zh-CN"/>
              </w:rPr>
              <w:t>本项目委托代理机构为江苏国兴建设项目管理有限公司，中标人在领取中标通知书时需向代理机构缴纳代理费、评委费（</w:t>
            </w:r>
            <w:r>
              <w:rPr>
                <w:rFonts w:hint="eastAsia"/>
                <w:color w:val="auto"/>
                <w:kern w:val="2"/>
                <w:sz w:val="21"/>
                <w:szCs w:val="21"/>
                <w:highlight w:val="none"/>
                <w:lang w:val="en-US" w:eastAsia="zh-CN"/>
              </w:rPr>
              <w:t>约1500元</w:t>
            </w:r>
            <w:r>
              <w:rPr>
                <w:rFonts w:hint="eastAsia"/>
                <w:color w:val="auto"/>
                <w:kern w:val="2"/>
                <w:sz w:val="21"/>
                <w:szCs w:val="21"/>
                <w:highlight w:val="none"/>
                <w:lang w:val="zh-CN" w:eastAsia="zh-CN"/>
              </w:rPr>
              <w:t>），代理费缴纳标准：按</w:t>
            </w:r>
            <w:r>
              <w:rPr>
                <w:rFonts w:hint="eastAsia"/>
                <w:color w:val="auto"/>
                <w:kern w:val="2"/>
                <w:sz w:val="21"/>
                <w:szCs w:val="21"/>
                <w:highlight w:val="none"/>
                <w:lang w:val="en-US" w:eastAsia="zh-CN"/>
              </w:rPr>
              <w:t>中标金额的</w:t>
            </w:r>
            <w:r>
              <w:rPr>
                <w:rFonts w:hint="eastAsia"/>
                <w:color w:val="auto"/>
                <w:kern w:val="2"/>
                <w:sz w:val="21"/>
                <w:szCs w:val="21"/>
                <w:highlight w:val="none"/>
                <w:lang w:val="zh-CN" w:eastAsia="zh-CN"/>
              </w:rPr>
              <w:t>1.0%标准收取。评标费根据开标实际情况结算。如需二次招标，所产生的费用按实际发生情况结算。</w:t>
            </w:r>
          </w:p>
        </w:tc>
      </w:tr>
      <w:bookmarkEnd w:id="67"/>
      <w:tr w14:paraId="6F97AE33">
        <w:tblPrEx>
          <w:tblCellMar>
            <w:top w:w="0" w:type="dxa"/>
            <w:left w:w="108" w:type="dxa"/>
            <w:bottom w:w="0" w:type="dxa"/>
            <w:right w:w="108" w:type="dxa"/>
          </w:tblCellMar>
        </w:tblPrEx>
        <w:trPr>
          <w:trHeight w:val="469" w:hRule="atLeast"/>
          <w:jc w:val="center"/>
        </w:trPr>
        <w:tc>
          <w:tcPr>
            <w:tcW w:w="10062" w:type="dxa"/>
            <w:gridSpan w:val="4"/>
            <w:tcBorders>
              <w:top w:val="single" w:color="auto" w:sz="4" w:space="0"/>
              <w:left w:val="single" w:color="auto" w:sz="4" w:space="0"/>
              <w:bottom w:val="single" w:color="auto" w:sz="4" w:space="0"/>
              <w:right w:val="single" w:color="auto" w:sz="4" w:space="0"/>
            </w:tcBorders>
            <w:vAlign w:val="center"/>
          </w:tcPr>
          <w:p w14:paraId="7033DB1A">
            <w:pPr>
              <w:pStyle w:val="21"/>
              <w:jc w:val="center"/>
              <w:rPr>
                <w:color w:val="auto"/>
                <w:kern w:val="2"/>
                <w:sz w:val="21"/>
                <w:szCs w:val="21"/>
                <w:highlight w:val="none"/>
              </w:rPr>
            </w:pPr>
            <w:bookmarkStart w:id="69" w:name="_Toc275703207"/>
            <w:r>
              <w:rPr>
                <w:rFonts w:hint="eastAsia"/>
                <w:b/>
                <w:color w:val="auto"/>
                <w:kern w:val="2"/>
                <w:sz w:val="21"/>
                <w:szCs w:val="21"/>
                <w:highlight w:val="none"/>
              </w:rPr>
              <w:t>需要补充的其他内容</w:t>
            </w:r>
            <w:bookmarkEnd w:id="69"/>
          </w:p>
        </w:tc>
      </w:tr>
      <w:tr w14:paraId="235A2C39">
        <w:tblPrEx>
          <w:tblCellMar>
            <w:top w:w="0" w:type="dxa"/>
            <w:left w:w="108" w:type="dxa"/>
            <w:bottom w:w="0" w:type="dxa"/>
            <w:right w:w="108" w:type="dxa"/>
          </w:tblCellMar>
        </w:tblPrEx>
        <w:trPr>
          <w:trHeight w:val="90" w:hRule="atLeast"/>
          <w:jc w:val="center"/>
        </w:trPr>
        <w:tc>
          <w:tcPr>
            <w:tcW w:w="829" w:type="dxa"/>
            <w:gridSpan w:val="2"/>
            <w:tcBorders>
              <w:top w:val="single" w:color="auto" w:sz="4" w:space="0"/>
              <w:left w:val="single" w:color="auto" w:sz="4" w:space="0"/>
              <w:bottom w:val="single" w:color="auto" w:sz="4" w:space="0"/>
              <w:right w:val="single" w:color="auto" w:sz="4" w:space="0"/>
            </w:tcBorders>
            <w:vAlign w:val="center"/>
          </w:tcPr>
          <w:p w14:paraId="164ED766">
            <w:pPr>
              <w:pStyle w:val="21"/>
              <w:jc w:val="center"/>
              <w:rPr>
                <w:color w:val="auto"/>
                <w:kern w:val="2"/>
                <w:sz w:val="21"/>
                <w:szCs w:val="21"/>
                <w:highlight w:val="none"/>
              </w:rPr>
            </w:pPr>
          </w:p>
        </w:tc>
        <w:tc>
          <w:tcPr>
            <w:tcW w:w="2883" w:type="dxa"/>
            <w:tcBorders>
              <w:top w:val="single" w:color="auto" w:sz="4" w:space="0"/>
              <w:left w:val="single" w:color="auto" w:sz="4" w:space="0"/>
              <w:bottom w:val="single" w:color="auto" w:sz="4" w:space="0"/>
              <w:right w:val="single" w:color="auto" w:sz="4" w:space="0"/>
            </w:tcBorders>
            <w:vAlign w:val="center"/>
          </w:tcPr>
          <w:p w14:paraId="5ABDE69F">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350" w:type="dxa"/>
            <w:tcBorders>
              <w:top w:val="single" w:color="auto" w:sz="4" w:space="0"/>
              <w:left w:val="single" w:color="auto" w:sz="4" w:space="0"/>
              <w:bottom w:val="single" w:color="auto" w:sz="4" w:space="0"/>
              <w:right w:val="single" w:color="auto" w:sz="4" w:space="0"/>
            </w:tcBorders>
            <w:vAlign w:val="center"/>
          </w:tcPr>
          <w:p w14:paraId="48C8977B">
            <w:pPr>
              <w:spacing w:line="340" w:lineRule="exact"/>
              <w:rPr>
                <w:rFonts w:ascii="宋体" w:hAnsi="宋体" w:eastAsia="宋体" w:cs="宋体"/>
                <w:color w:val="auto"/>
                <w:kern w:val="0"/>
                <w:szCs w:val="21"/>
                <w:highlight w:val="none"/>
              </w:rPr>
            </w:pPr>
            <w:bookmarkStart w:id="70" w:name="EBc0ee6b8aad0447b6abfa22d801aa4453"/>
            <w:r>
              <w:rPr>
                <w:rFonts w:hint="eastAsia" w:ascii="宋体" w:hAnsi="宋体" w:eastAsia="宋体" w:cs="宋体"/>
                <w:color w:val="auto"/>
                <w:kern w:val="0"/>
                <w:szCs w:val="21"/>
                <w:highlight w:val="none"/>
              </w:rPr>
              <w:t>招标文件中的其它内容与本条款不一致的，以本条款内容为准。</w:t>
            </w:r>
          </w:p>
          <w:bookmarkEnd w:id="70"/>
          <w:p w14:paraId="0D17FEC1">
            <w:pPr>
              <w:pStyle w:val="2"/>
              <w:ind w:firstLine="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此项目中</w:t>
            </w:r>
            <w:r>
              <w:rPr>
                <w:rFonts w:hint="eastAsia" w:ascii="宋体" w:hAnsi="宋体" w:eastAsia="宋体" w:cs="宋体"/>
                <w:color w:val="auto"/>
                <w:kern w:val="0"/>
                <w:szCs w:val="21"/>
                <w:highlight w:val="none"/>
                <w:lang w:val="en-US"/>
              </w:rPr>
              <w:t>所有手续办理，会务协调，资料由中标方负责</w:t>
            </w:r>
            <w:r>
              <w:rPr>
                <w:rFonts w:hint="eastAsia" w:ascii="宋体" w:hAnsi="宋体" w:eastAsia="宋体" w:cs="宋体"/>
                <w:color w:val="auto"/>
                <w:kern w:val="0"/>
                <w:szCs w:val="21"/>
                <w:highlight w:val="none"/>
                <w:lang w:val="en-US" w:eastAsia="zh-CN"/>
              </w:rPr>
              <w:t>。</w:t>
            </w:r>
          </w:p>
          <w:p w14:paraId="2E262D13">
            <w:pPr>
              <w:pStyle w:val="2"/>
              <w:ind w:firstLine="0" w:firstLineChars="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结算方式：合同签订后7个工作日内支付合同总价的30%；出具正式设计方案及图纸，经招标人及独立第三方确认后30个工作日内一次性支付尾款，尾款不计息。</w:t>
            </w:r>
          </w:p>
        </w:tc>
      </w:tr>
    </w:tbl>
    <w:p w14:paraId="2FBC0A4E">
      <w:pPr>
        <w:rPr>
          <w:rFonts w:ascii="宋体" w:hAnsi="宋体" w:cs="宋体"/>
          <w:color w:val="auto"/>
          <w:highlight w:val="none"/>
        </w:rPr>
      </w:pPr>
      <w:bookmarkStart w:id="71" w:name="EBc441b5015e2b49e19353019f1a1506ab"/>
      <w:r>
        <w:rPr>
          <w:rFonts w:hint="eastAsia" w:ascii="宋体" w:hAnsi="宋体" w:eastAsia="宋体" w:cs="宋体"/>
          <w:color w:val="auto"/>
          <w:sz w:val="20"/>
          <w:highlight w:val="none"/>
        </w:rPr>
        <w:t xml:space="preserve"> </w:t>
      </w:r>
      <w:bookmarkEnd w:id="71"/>
    </w:p>
    <w:p w14:paraId="4EB342BE">
      <w:pPr>
        <w:pStyle w:val="331"/>
        <w:rPr>
          <w:rFonts w:ascii="宋体" w:hAnsi="宋体" w:cs="宋体"/>
          <w:color w:val="auto"/>
          <w:highlight w:val="none"/>
        </w:rPr>
      </w:pPr>
      <w:r>
        <w:rPr>
          <w:rFonts w:hint="eastAsia" w:ascii="宋体" w:hAnsi="宋体" w:cs="宋体"/>
          <w:color w:val="auto"/>
          <w:highlight w:val="none"/>
        </w:rPr>
        <w:t>一.总则</w:t>
      </w:r>
    </w:p>
    <w:p w14:paraId="4C992946">
      <w:pPr>
        <w:pStyle w:val="258"/>
        <w:rPr>
          <w:rFonts w:ascii="宋体" w:hAnsi="宋体" w:cs="宋体"/>
          <w:b w:val="0"/>
          <w:bCs w:val="0"/>
          <w:color w:val="auto"/>
          <w:szCs w:val="21"/>
          <w:highlight w:val="none"/>
        </w:rPr>
      </w:pPr>
      <w:bookmarkStart w:id="72" w:name="_Toc19746"/>
      <w:bookmarkStart w:id="73" w:name="_Toc9853"/>
      <w:bookmarkStart w:id="74" w:name="_Toc5685"/>
      <w:bookmarkStart w:id="75" w:name="_Toc13288"/>
      <w:bookmarkStart w:id="76" w:name="_Toc234382590"/>
      <w:r>
        <w:rPr>
          <w:rFonts w:hint="eastAsia" w:ascii="宋体" w:hAnsi="宋体" w:cs="宋体"/>
          <w:color w:val="auto"/>
          <w:highlight w:val="none"/>
        </w:rPr>
        <w:t>1项目概况</w:t>
      </w:r>
      <w:bookmarkEnd w:id="72"/>
      <w:bookmarkEnd w:id="73"/>
      <w:bookmarkEnd w:id="74"/>
      <w:bookmarkEnd w:id="75"/>
      <w:bookmarkEnd w:id="76"/>
    </w:p>
    <w:p w14:paraId="5D947123">
      <w:pPr>
        <w:autoSpaceDE w:val="0"/>
        <w:autoSpaceDN w:val="0"/>
        <w:adjustRightInd w:val="0"/>
        <w:snapToGrid w:val="0"/>
        <w:spacing w:line="30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1.1根据《中华人民共和国招标投标法》等有关法律、法规和规章的规定要求，本招标项目已具备招标条件，现对本标段施工进行招标。</w:t>
      </w:r>
    </w:p>
    <w:p w14:paraId="22E844F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1.1.2本招标项目招标人：见投标人须知前附表。</w:t>
      </w:r>
    </w:p>
    <w:p w14:paraId="57F03EF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1.1.3本招标项目代理机构：见投标人须知前附表。</w:t>
      </w:r>
    </w:p>
    <w:p w14:paraId="121552D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1.1.4本招标项目名称：见投标人须知前附表。</w:t>
      </w:r>
    </w:p>
    <w:p w14:paraId="1FBF063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1.1.5本招标项目建设地点：见投标人须知前附表。</w:t>
      </w:r>
    </w:p>
    <w:p w14:paraId="0B9425FD">
      <w:pPr>
        <w:pStyle w:val="258"/>
        <w:rPr>
          <w:rFonts w:ascii="宋体" w:hAnsi="宋体" w:cs="宋体"/>
          <w:color w:val="auto"/>
          <w:highlight w:val="none"/>
        </w:rPr>
      </w:pPr>
      <w:bookmarkStart w:id="77" w:name="_Toc30248"/>
      <w:bookmarkStart w:id="78" w:name="_Toc234382591"/>
      <w:bookmarkStart w:id="79" w:name="_Toc17989"/>
      <w:bookmarkStart w:id="80" w:name="_Toc16868"/>
      <w:bookmarkStart w:id="81" w:name="_Toc15057"/>
      <w:r>
        <w:rPr>
          <w:rFonts w:hint="eastAsia" w:ascii="宋体" w:hAnsi="宋体" w:cs="宋体"/>
          <w:color w:val="auto"/>
          <w:highlight w:val="none"/>
        </w:rPr>
        <w:t>1.2 资金来源和落实情况</w:t>
      </w:r>
      <w:bookmarkEnd w:id="77"/>
      <w:bookmarkEnd w:id="78"/>
      <w:bookmarkEnd w:id="79"/>
      <w:bookmarkEnd w:id="80"/>
      <w:bookmarkEnd w:id="81"/>
    </w:p>
    <w:p w14:paraId="74B899E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1.2.3 本招标项目的资金落实情况：见投标人须知前附表。</w:t>
      </w:r>
    </w:p>
    <w:p w14:paraId="0AF20CB0">
      <w:pPr>
        <w:pStyle w:val="258"/>
        <w:rPr>
          <w:rFonts w:ascii="宋体" w:hAnsi="宋体" w:cs="宋体"/>
          <w:color w:val="auto"/>
          <w:highlight w:val="none"/>
        </w:rPr>
      </w:pPr>
      <w:bookmarkStart w:id="82" w:name="_Toc19463"/>
      <w:bookmarkStart w:id="83" w:name="_Toc234382592"/>
      <w:bookmarkStart w:id="84" w:name="_Toc5734"/>
      <w:bookmarkStart w:id="85" w:name="_Toc15430"/>
      <w:bookmarkStart w:id="86" w:name="_Toc23374"/>
      <w:r>
        <w:rPr>
          <w:rFonts w:hint="eastAsia" w:ascii="宋体" w:hAnsi="宋体" w:cs="宋体"/>
          <w:color w:val="auto"/>
          <w:highlight w:val="none"/>
        </w:rPr>
        <w:t>1.3 招标范围、计划工期和质量要求</w:t>
      </w:r>
      <w:bookmarkEnd w:id="82"/>
      <w:bookmarkEnd w:id="83"/>
      <w:bookmarkEnd w:id="84"/>
      <w:bookmarkEnd w:id="85"/>
      <w:bookmarkEnd w:id="86"/>
    </w:p>
    <w:p w14:paraId="6250E090">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1.3.1 本次招标范围：见投标人须知前附表。</w:t>
      </w:r>
    </w:p>
    <w:p w14:paraId="770396E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1.3.2 本标段的计划工期：见投标人须知前附表。</w:t>
      </w:r>
    </w:p>
    <w:p w14:paraId="454A2B9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1.3.3 本标段的质量要求：见投标人须知前附表。</w:t>
      </w:r>
    </w:p>
    <w:p w14:paraId="17A1BE16">
      <w:pPr>
        <w:pStyle w:val="258"/>
        <w:rPr>
          <w:rFonts w:ascii="宋体" w:hAnsi="宋体" w:cs="宋体"/>
          <w:color w:val="auto"/>
          <w:highlight w:val="none"/>
        </w:rPr>
      </w:pPr>
      <w:bookmarkStart w:id="87" w:name="_Toc9282"/>
      <w:bookmarkStart w:id="88" w:name="_Toc14837"/>
      <w:bookmarkStart w:id="89" w:name="_Toc234382594"/>
      <w:bookmarkStart w:id="90" w:name="_Toc8093"/>
      <w:bookmarkStart w:id="91" w:name="_Toc31974"/>
      <w:r>
        <w:rPr>
          <w:rFonts w:hint="eastAsia" w:ascii="宋体" w:hAnsi="宋体" w:cs="宋体"/>
          <w:color w:val="auto"/>
          <w:highlight w:val="none"/>
        </w:rPr>
        <w:t>1.4 投标人资格要求</w:t>
      </w:r>
      <w:bookmarkEnd w:id="87"/>
      <w:bookmarkEnd w:id="88"/>
      <w:bookmarkEnd w:id="89"/>
      <w:bookmarkEnd w:id="90"/>
      <w:bookmarkEnd w:id="91"/>
    </w:p>
    <w:p w14:paraId="114B55B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1.4.1 投标人应具备承担本标段施工的资质条件、能力和信誉。</w:t>
      </w:r>
    </w:p>
    <w:p w14:paraId="604AB9F1">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（1）资质条件：见投标人须知前附表；</w:t>
      </w:r>
    </w:p>
    <w:p w14:paraId="788D728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（2）信誉要求：见投标人须知前附表;</w:t>
      </w:r>
    </w:p>
    <w:p w14:paraId="3620139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（3）项目经理资格：见投标人须知前附表；</w:t>
      </w:r>
    </w:p>
    <w:p w14:paraId="176BE454">
      <w:pPr>
        <w:widowControl/>
        <w:spacing w:line="300" w:lineRule="atLeast"/>
        <w:ind w:firstLine="42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（4）其他要求：见投标人须知前附表</w:t>
      </w:r>
      <w:r>
        <w:rPr>
          <w:rFonts w:hint="eastAsia" w:ascii="宋体" w:hAnsi="宋体" w:eastAsia="宋体" w:cs="宋体"/>
          <w:color w:val="auto"/>
          <w:kern w:val="0"/>
          <w:sz w:val="24"/>
          <w:szCs w:val="24"/>
          <w:highlight w:val="none"/>
        </w:rPr>
        <w:t>项目负责人要求：</w:t>
      </w:r>
    </w:p>
    <w:p w14:paraId="2EF78B8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1.4.2投标人不得存在下列情形之一：</w:t>
      </w:r>
    </w:p>
    <w:p w14:paraId="0E43943F">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（1）为招标人不具有独立法人资格的附属机构（单位）；</w:t>
      </w:r>
    </w:p>
    <w:p w14:paraId="3375F5D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为本标段前期准备提供设计或咨询服务的，但设计施工总承包的除外</w:t>
      </w:r>
      <w:r>
        <w:rPr>
          <w:rFonts w:hint="eastAsia" w:ascii="宋体" w:hAnsi="宋体" w:eastAsia="宋体" w:cs="宋体"/>
          <w:color w:val="auto"/>
          <w:szCs w:val="21"/>
          <w:highlight w:val="none"/>
        </w:rPr>
        <w:t>；</w:t>
      </w:r>
    </w:p>
    <w:p w14:paraId="167A7FCF">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（3）为本标段的监理人；</w:t>
      </w:r>
    </w:p>
    <w:p w14:paraId="737F58F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（4）为本标段的代建人；</w:t>
      </w:r>
    </w:p>
    <w:p w14:paraId="14B767C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（5）为本标段提供招标代理服务的；</w:t>
      </w:r>
    </w:p>
    <w:p w14:paraId="4BF7CED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（6）与本标段的监理人或代建人或招标代理机构同为一个法定代表人的；</w:t>
      </w:r>
    </w:p>
    <w:p w14:paraId="55FF4BD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（7）与本标段的监理人或代建人或招标代理机构相互控股或参股的；</w:t>
      </w:r>
    </w:p>
    <w:p w14:paraId="1803568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（8）与本标段的监理人或代建人或招标代理机构相互任职或工作的；</w:t>
      </w:r>
    </w:p>
    <w:p w14:paraId="3E17850F">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（9）单位负责人为同一人或者存在控股、管理关系的不同单位的；</w:t>
      </w:r>
    </w:p>
    <w:p w14:paraId="4FB61C9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（10）被责令停业的；</w:t>
      </w:r>
    </w:p>
    <w:p w14:paraId="089751C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（11）被暂停或取消投标资格的；</w:t>
      </w:r>
    </w:p>
    <w:p w14:paraId="5A5E0801">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（12）财产被接管或冻结的；</w:t>
      </w:r>
    </w:p>
    <w:p w14:paraId="57A14A0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（13）在最近三年内有骗取中标或严重违约或重大工程质量问题的。</w:t>
      </w:r>
    </w:p>
    <w:p w14:paraId="2AAFEA3E">
      <w:pPr>
        <w:pStyle w:val="258"/>
        <w:rPr>
          <w:rFonts w:ascii="宋体" w:hAnsi="宋体" w:cs="宋体"/>
          <w:color w:val="auto"/>
          <w:highlight w:val="none"/>
        </w:rPr>
      </w:pPr>
      <w:bookmarkStart w:id="92" w:name="_Toc20819"/>
      <w:bookmarkStart w:id="93" w:name="_Toc2814"/>
      <w:bookmarkStart w:id="94" w:name="_Toc6629"/>
      <w:bookmarkStart w:id="95" w:name="_Toc234382595"/>
      <w:bookmarkStart w:id="96" w:name="_Toc11177"/>
      <w:r>
        <w:rPr>
          <w:rFonts w:hint="eastAsia" w:ascii="宋体" w:hAnsi="宋体" w:cs="宋体"/>
          <w:color w:val="auto"/>
          <w:highlight w:val="none"/>
        </w:rPr>
        <w:t>1.5 费用承担</w:t>
      </w:r>
      <w:bookmarkEnd w:id="92"/>
      <w:bookmarkEnd w:id="93"/>
      <w:bookmarkEnd w:id="94"/>
      <w:bookmarkEnd w:id="95"/>
      <w:bookmarkEnd w:id="96"/>
    </w:p>
    <w:p w14:paraId="58B2208F">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1.5.1投标人准备和参加投标活动发生的费用自理。</w:t>
      </w:r>
    </w:p>
    <w:p w14:paraId="3C0DB89F">
      <w:pPr>
        <w:pStyle w:val="258"/>
        <w:rPr>
          <w:rFonts w:ascii="宋体" w:hAnsi="宋体" w:cs="宋体"/>
          <w:color w:val="auto"/>
          <w:highlight w:val="none"/>
        </w:rPr>
      </w:pPr>
      <w:bookmarkStart w:id="97" w:name="_Toc234382596"/>
      <w:bookmarkStart w:id="98" w:name="_Toc7584"/>
      <w:bookmarkStart w:id="99" w:name="_Toc19219"/>
      <w:bookmarkStart w:id="100" w:name="_Toc19847"/>
      <w:bookmarkStart w:id="101" w:name="_Toc8010"/>
      <w:r>
        <w:rPr>
          <w:rFonts w:hint="eastAsia" w:ascii="宋体" w:hAnsi="宋体" w:cs="宋体"/>
          <w:color w:val="auto"/>
          <w:highlight w:val="none"/>
        </w:rPr>
        <w:t>1.6 保密</w:t>
      </w:r>
      <w:bookmarkEnd w:id="97"/>
      <w:bookmarkEnd w:id="98"/>
      <w:bookmarkEnd w:id="99"/>
      <w:bookmarkEnd w:id="100"/>
      <w:bookmarkEnd w:id="101"/>
    </w:p>
    <w:p w14:paraId="5D459871">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参与招标投标活动的各方应对招标文件和投标文件中的商业和技术等秘密保密，违者应对由此造成的后果承担法律责任。</w:t>
      </w:r>
    </w:p>
    <w:p w14:paraId="35CBBBA1">
      <w:pPr>
        <w:pStyle w:val="258"/>
        <w:rPr>
          <w:rFonts w:ascii="宋体" w:hAnsi="宋体" w:cs="宋体"/>
          <w:color w:val="auto"/>
          <w:highlight w:val="none"/>
        </w:rPr>
      </w:pPr>
      <w:bookmarkStart w:id="102" w:name="_Toc17814"/>
      <w:bookmarkStart w:id="103" w:name="_Toc31991"/>
      <w:bookmarkStart w:id="104" w:name="_Toc12891"/>
      <w:bookmarkStart w:id="105" w:name="_Toc234382597"/>
      <w:bookmarkStart w:id="106" w:name="_Toc24174"/>
      <w:r>
        <w:rPr>
          <w:rFonts w:hint="eastAsia" w:ascii="宋体" w:hAnsi="宋体" w:cs="宋体"/>
          <w:color w:val="auto"/>
          <w:highlight w:val="none"/>
        </w:rPr>
        <w:t>1.7 语言文字</w:t>
      </w:r>
      <w:bookmarkEnd w:id="102"/>
      <w:bookmarkEnd w:id="103"/>
      <w:bookmarkEnd w:id="104"/>
      <w:bookmarkEnd w:id="105"/>
      <w:bookmarkEnd w:id="106"/>
    </w:p>
    <w:p w14:paraId="1F2A6360">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除专用术语外，与招标投标有关的语言均使用中文。必要时专用术语应附有中文注释。</w:t>
      </w:r>
    </w:p>
    <w:p w14:paraId="34F8A029">
      <w:pPr>
        <w:pStyle w:val="258"/>
        <w:rPr>
          <w:rFonts w:ascii="宋体" w:hAnsi="宋体" w:cs="宋体"/>
          <w:color w:val="auto"/>
          <w:highlight w:val="none"/>
        </w:rPr>
      </w:pPr>
      <w:bookmarkStart w:id="107" w:name="_Toc11268"/>
      <w:bookmarkStart w:id="108" w:name="_Toc11731"/>
      <w:bookmarkStart w:id="109" w:name="_Toc3161"/>
      <w:bookmarkStart w:id="110" w:name="_Toc234382598"/>
      <w:bookmarkStart w:id="111" w:name="_Toc28015"/>
      <w:r>
        <w:rPr>
          <w:rFonts w:hint="eastAsia" w:ascii="宋体" w:hAnsi="宋体" w:cs="宋体"/>
          <w:color w:val="auto"/>
          <w:highlight w:val="none"/>
        </w:rPr>
        <w:t>1.8 计量单位</w:t>
      </w:r>
      <w:bookmarkEnd w:id="107"/>
      <w:bookmarkEnd w:id="108"/>
      <w:bookmarkEnd w:id="109"/>
      <w:bookmarkEnd w:id="110"/>
      <w:bookmarkEnd w:id="111"/>
    </w:p>
    <w:p w14:paraId="0EDF219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14:paraId="5558405B">
      <w:pPr>
        <w:pStyle w:val="258"/>
        <w:rPr>
          <w:rFonts w:ascii="宋体" w:hAnsi="宋体" w:cs="宋体"/>
          <w:color w:val="auto"/>
          <w:highlight w:val="none"/>
        </w:rPr>
      </w:pPr>
      <w:bookmarkStart w:id="112" w:name="_Toc16235"/>
      <w:bookmarkStart w:id="113" w:name="_Toc6728"/>
      <w:bookmarkStart w:id="114" w:name="_Toc27518"/>
      <w:bookmarkStart w:id="115" w:name="_Toc234382601"/>
      <w:bookmarkStart w:id="116" w:name="_Toc9559"/>
      <w:r>
        <w:rPr>
          <w:rFonts w:hint="eastAsia" w:ascii="宋体" w:hAnsi="宋体" w:cs="宋体"/>
          <w:color w:val="auto"/>
          <w:highlight w:val="none"/>
        </w:rPr>
        <w:t>1.9分包</w:t>
      </w:r>
      <w:bookmarkEnd w:id="112"/>
      <w:bookmarkEnd w:id="113"/>
      <w:bookmarkEnd w:id="114"/>
      <w:bookmarkEnd w:id="115"/>
      <w:bookmarkEnd w:id="116"/>
    </w:p>
    <w:p w14:paraId="4C2D810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本项目严禁转包和违规分包，且不得再次分包。</w:t>
      </w:r>
    </w:p>
    <w:p w14:paraId="66626554">
      <w:pPr>
        <w:rPr>
          <w:rFonts w:ascii="宋体" w:hAnsi="宋体" w:eastAsia="宋体" w:cs="宋体"/>
          <w:color w:val="auto"/>
          <w:highlight w:val="none"/>
        </w:rPr>
      </w:pPr>
    </w:p>
    <w:p w14:paraId="5A164824">
      <w:pPr>
        <w:rPr>
          <w:rFonts w:ascii="宋体" w:hAnsi="宋体" w:eastAsia="宋体" w:cs="宋体"/>
          <w:color w:val="auto"/>
          <w:highlight w:val="none"/>
        </w:rPr>
      </w:pPr>
      <w:bookmarkStart w:id="117" w:name="EB0b92e6035cb9470693a6715b5d4888ed"/>
      <w:r>
        <w:rPr>
          <w:rFonts w:hint="eastAsia" w:ascii="宋体" w:hAnsi="宋体" w:eastAsia="宋体" w:cs="宋体"/>
          <w:color w:val="auto"/>
          <w:sz w:val="20"/>
          <w:highlight w:val="none"/>
        </w:rPr>
        <w:t xml:space="preserve"> </w:t>
      </w:r>
      <w:bookmarkEnd w:id="117"/>
      <w:bookmarkStart w:id="118" w:name="EB0e3834cd1b8344c4bae6720d9b3e5636"/>
      <w:r>
        <w:rPr>
          <w:rFonts w:hint="eastAsia" w:ascii="宋体" w:hAnsi="宋体" w:eastAsia="宋体" w:cs="宋体"/>
          <w:color w:val="auto"/>
          <w:sz w:val="20"/>
          <w:highlight w:val="none"/>
        </w:rPr>
        <w:t xml:space="preserve"> </w:t>
      </w:r>
      <w:bookmarkEnd w:id="118"/>
    </w:p>
    <w:p w14:paraId="7EB4E749">
      <w:pPr>
        <w:pStyle w:val="331"/>
        <w:rPr>
          <w:rFonts w:ascii="宋体" w:hAnsi="宋体" w:cs="宋体"/>
          <w:color w:val="auto"/>
          <w:highlight w:val="none"/>
        </w:rPr>
      </w:pPr>
      <w:bookmarkStart w:id="119" w:name="_Toc23034"/>
      <w:bookmarkStart w:id="120" w:name="_Toc31544"/>
      <w:bookmarkStart w:id="121" w:name="_Toc27925"/>
      <w:bookmarkStart w:id="122" w:name="_Toc234382603"/>
      <w:bookmarkStart w:id="123" w:name="_Toc21454"/>
      <w:r>
        <w:rPr>
          <w:rFonts w:hint="eastAsia" w:ascii="宋体" w:hAnsi="宋体" w:cs="宋体"/>
          <w:color w:val="auto"/>
          <w:highlight w:val="none"/>
        </w:rPr>
        <w:t>2. 招标文件</w:t>
      </w:r>
      <w:bookmarkEnd w:id="119"/>
      <w:bookmarkEnd w:id="120"/>
      <w:bookmarkEnd w:id="121"/>
      <w:bookmarkEnd w:id="122"/>
      <w:bookmarkEnd w:id="123"/>
    </w:p>
    <w:p w14:paraId="57625938">
      <w:pPr>
        <w:pStyle w:val="258"/>
        <w:rPr>
          <w:rFonts w:ascii="宋体" w:hAnsi="宋体" w:cs="宋体"/>
          <w:color w:val="auto"/>
          <w:highlight w:val="none"/>
        </w:rPr>
      </w:pPr>
      <w:bookmarkStart w:id="124" w:name="_Toc234382604"/>
      <w:bookmarkStart w:id="125" w:name="_Toc7851"/>
      <w:bookmarkStart w:id="126" w:name="_Toc1196"/>
      <w:bookmarkStart w:id="127" w:name="_Toc8542"/>
      <w:bookmarkStart w:id="128" w:name="_Toc31696"/>
      <w:r>
        <w:rPr>
          <w:rFonts w:hint="eastAsia" w:ascii="宋体" w:hAnsi="宋体" w:cs="宋体"/>
          <w:color w:val="auto"/>
          <w:highlight w:val="none"/>
        </w:rPr>
        <w:t>2.1 招标文件的组成</w:t>
      </w:r>
      <w:bookmarkEnd w:id="124"/>
      <w:bookmarkEnd w:id="125"/>
      <w:bookmarkEnd w:id="126"/>
      <w:bookmarkEnd w:id="127"/>
      <w:bookmarkEnd w:id="128"/>
    </w:p>
    <w:p w14:paraId="6C2BBDDB">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本招标文件包括：</w:t>
      </w:r>
    </w:p>
    <w:p w14:paraId="3C3B067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（1）投标邀请书；</w:t>
      </w:r>
    </w:p>
    <w:p w14:paraId="119D2B7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777C6A6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（3）评标办法；</w:t>
      </w:r>
    </w:p>
    <w:p w14:paraId="26427D2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）技术规范；</w:t>
      </w:r>
    </w:p>
    <w:p w14:paraId="5DCD8F67">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）投标文件格式；</w:t>
      </w:r>
    </w:p>
    <w:p w14:paraId="12BA3F9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）投标人须知前附表规定的其他材料。</w:t>
      </w:r>
    </w:p>
    <w:p w14:paraId="7BF74C2E">
      <w:pPr>
        <w:spacing w:line="400" w:lineRule="exact"/>
        <w:ind w:firstLine="420" w:firstLineChars="200"/>
        <w:rPr>
          <w:rFonts w:ascii="宋体" w:hAnsi="宋体" w:eastAsia="宋体" w:cs="宋体"/>
          <w:color w:val="auto"/>
          <w:szCs w:val="21"/>
          <w:highlight w:val="none"/>
        </w:rPr>
      </w:pPr>
      <w:bookmarkStart w:id="129" w:name="_Toc15212"/>
      <w:bookmarkStart w:id="130" w:name="_Toc32285"/>
      <w:bookmarkStart w:id="131" w:name="_Toc234382605"/>
      <w:bookmarkStart w:id="132" w:name="_Toc20201"/>
      <w:r>
        <w:rPr>
          <w:rFonts w:hint="eastAsia" w:ascii="宋体" w:hAnsi="宋体" w:eastAsia="宋体" w:cs="宋体"/>
          <w:color w:val="auto"/>
          <w:szCs w:val="21"/>
          <w:highlight w:val="none"/>
        </w:rPr>
        <w:t>根据本章第2.2款和第2.3款对招标文件所作的澄清、修改，构成招标文件的组成部分。</w:t>
      </w:r>
    </w:p>
    <w:p w14:paraId="0718531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highlight w:val="none"/>
        </w:rPr>
        <w:t>投标人在投标截止时间前，应通过报名登记时所留邮箱随时查询。查询如有遗漏，其风险应由投标人自行承担。</w:t>
      </w:r>
    </w:p>
    <w:p w14:paraId="78BE5D4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当招标文件、招标文件的澄清或修改等在同一内容的表述上不一致时，以最后发出的书面文件为准。</w:t>
      </w:r>
    </w:p>
    <w:p w14:paraId="4EF684FF">
      <w:pPr>
        <w:pStyle w:val="258"/>
        <w:rPr>
          <w:rFonts w:ascii="宋体" w:hAnsi="宋体" w:cs="宋体"/>
          <w:color w:val="auto"/>
          <w:highlight w:val="none"/>
        </w:rPr>
      </w:pPr>
      <w:bookmarkStart w:id="133" w:name="_Toc17760"/>
      <w:r>
        <w:rPr>
          <w:rFonts w:hint="eastAsia" w:ascii="宋体" w:hAnsi="宋体" w:cs="宋体"/>
          <w:color w:val="auto"/>
          <w:highlight w:val="none"/>
        </w:rPr>
        <w:t>2.2 招标文件的澄清</w:t>
      </w:r>
      <w:bookmarkEnd w:id="129"/>
      <w:bookmarkEnd w:id="130"/>
      <w:bookmarkEnd w:id="131"/>
      <w:bookmarkEnd w:id="132"/>
      <w:bookmarkEnd w:id="133"/>
    </w:p>
    <w:p w14:paraId="706BFAA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2.2.1 </w:t>
      </w:r>
      <w:r>
        <w:rPr>
          <w:rFonts w:hint="eastAsia" w:ascii="宋体" w:hAnsi="宋体" w:eastAsia="宋体" w:cs="宋体"/>
          <w:color w:val="auto"/>
          <w:highlight w:val="none"/>
        </w:rPr>
        <w:t>投标人收到招标文件后，</w:t>
      </w:r>
      <w:r>
        <w:rPr>
          <w:rFonts w:hint="eastAsia" w:ascii="宋体" w:hAnsi="宋体" w:eastAsia="宋体" w:cs="宋体"/>
          <w:color w:val="auto"/>
          <w:szCs w:val="21"/>
          <w:highlight w:val="none"/>
        </w:rPr>
        <w:t>应仔细阅读和检查招标文件的全部内容。如发现缺页或附件不全或对招标文件有疑问的，应在投标截止时间前3天通过邮箱以不署名的形式提出，要求招标人对招标文件予以澄清。</w:t>
      </w:r>
    </w:p>
    <w:p w14:paraId="4150BCA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2.2.2招标文件的澄清在投标人须知前附表规定的投标截止时间2天前发布，但不指明澄清问题的来源。如果澄清发出的澄清内容影响投标文件编制且不能满足投标人编制投标文件时间，招标人将视情况可能适当延长投标截止时间。</w:t>
      </w:r>
    </w:p>
    <w:p w14:paraId="3FE88E9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2.2.3投标人应及时通过邮箱获取澄清后的招标文件，未按澄清后的招标文件编制的投标文件有可能被招投标小组否决。</w:t>
      </w:r>
    </w:p>
    <w:p w14:paraId="42EE9113">
      <w:pPr>
        <w:pStyle w:val="258"/>
        <w:rPr>
          <w:rFonts w:ascii="宋体" w:hAnsi="宋体" w:cs="宋体"/>
          <w:color w:val="auto"/>
          <w:highlight w:val="none"/>
        </w:rPr>
      </w:pPr>
      <w:bookmarkStart w:id="134" w:name="_Toc30352"/>
      <w:bookmarkStart w:id="135" w:name="_Toc234382606"/>
      <w:bookmarkStart w:id="136" w:name="_Toc2995"/>
      <w:bookmarkStart w:id="137" w:name="_Toc3425"/>
      <w:bookmarkStart w:id="138" w:name="_Toc27380"/>
      <w:r>
        <w:rPr>
          <w:rFonts w:hint="eastAsia" w:ascii="宋体" w:hAnsi="宋体" w:cs="宋体"/>
          <w:color w:val="auto"/>
          <w:highlight w:val="none"/>
        </w:rPr>
        <w:t>2.3 招标文件的修改</w:t>
      </w:r>
      <w:bookmarkEnd w:id="134"/>
      <w:bookmarkEnd w:id="135"/>
      <w:bookmarkEnd w:id="136"/>
      <w:bookmarkEnd w:id="137"/>
      <w:bookmarkEnd w:id="138"/>
    </w:p>
    <w:p w14:paraId="49FEC467">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2.3.1 在投标截止时间前，招标人可以修改招标文件。但如果修改招标文件内容影响投标文件编制且不能满足投标人编制投标文件时间，招标人将视情况可能适当延长投标截止时间。</w:t>
      </w:r>
    </w:p>
    <w:p w14:paraId="6377A9A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2.3.2投标人应及时获取修改后的招标文件，未按修改后的招标文件编制的投标文件有可能被招投标小组否决。</w:t>
      </w:r>
    </w:p>
    <w:p w14:paraId="6D6D6F15">
      <w:pPr>
        <w:pStyle w:val="258"/>
        <w:rPr>
          <w:rFonts w:ascii="宋体" w:hAnsi="宋体" w:cs="宋体"/>
          <w:color w:val="auto"/>
          <w:highlight w:val="none"/>
        </w:rPr>
      </w:pPr>
      <w:bookmarkStart w:id="139" w:name="_Toc11276"/>
      <w:bookmarkStart w:id="140" w:name="_Toc8018"/>
      <w:bookmarkStart w:id="141" w:name="_Toc13247"/>
      <w:r>
        <w:rPr>
          <w:rFonts w:hint="eastAsia" w:ascii="宋体" w:hAnsi="宋体" w:cs="宋体"/>
          <w:color w:val="auto"/>
          <w:highlight w:val="none"/>
        </w:rPr>
        <w:t>2.4 招标文件的异议</w:t>
      </w:r>
      <w:bookmarkEnd w:id="139"/>
      <w:bookmarkEnd w:id="140"/>
      <w:bookmarkEnd w:id="141"/>
    </w:p>
    <w:p w14:paraId="73B5D177">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2.4.1对招标文件有异议的，应当在投标截止时间3日前提出。</w:t>
      </w:r>
    </w:p>
    <w:p w14:paraId="7F1EE4AD">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2.4.2招标人应当自收到异议之日起3 日内作出答复；作出答复前，应当暂停招标投标活动。</w:t>
      </w:r>
    </w:p>
    <w:p w14:paraId="50166DF6">
      <w:pPr>
        <w:rPr>
          <w:rFonts w:ascii="宋体" w:hAnsi="宋体" w:eastAsia="宋体" w:cs="宋体"/>
          <w:color w:val="auto"/>
          <w:highlight w:val="none"/>
        </w:rPr>
      </w:pPr>
    </w:p>
    <w:p w14:paraId="02EE1592">
      <w:pPr>
        <w:rPr>
          <w:rFonts w:ascii="宋体" w:hAnsi="宋体" w:eastAsia="宋体" w:cs="宋体"/>
          <w:color w:val="auto"/>
          <w:highlight w:val="none"/>
        </w:rPr>
      </w:pPr>
      <w:bookmarkStart w:id="142" w:name="EB17774351d49b4b5aa0c7e01dc0595972"/>
      <w:r>
        <w:rPr>
          <w:rFonts w:hint="eastAsia" w:ascii="宋体" w:hAnsi="宋体" w:eastAsia="宋体" w:cs="宋体"/>
          <w:color w:val="auto"/>
          <w:sz w:val="20"/>
          <w:highlight w:val="none"/>
        </w:rPr>
        <w:t xml:space="preserve"> </w:t>
      </w:r>
      <w:bookmarkEnd w:id="142"/>
      <w:bookmarkStart w:id="143" w:name="EB324ee33b61d24f33aaf134ce9da5a513"/>
      <w:r>
        <w:rPr>
          <w:rFonts w:hint="eastAsia" w:ascii="宋体" w:hAnsi="宋体" w:eastAsia="宋体" w:cs="宋体"/>
          <w:color w:val="auto"/>
          <w:sz w:val="20"/>
          <w:highlight w:val="none"/>
        </w:rPr>
        <w:t xml:space="preserve"> </w:t>
      </w:r>
      <w:bookmarkEnd w:id="143"/>
    </w:p>
    <w:p w14:paraId="2CB1091A">
      <w:pPr>
        <w:pStyle w:val="331"/>
        <w:rPr>
          <w:rFonts w:ascii="宋体" w:hAnsi="宋体" w:cs="宋体"/>
          <w:color w:val="auto"/>
          <w:highlight w:val="none"/>
        </w:rPr>
      </w:pPr>
      <w:bookmarkStart w:id="144" w:name="_Toc1961"/>
      <w:bookmarkStart w:id="145" w:name="_Toc4259"/>
      <w:bookmarkStart w:id="146" w:name="_Toc1955"/>
      <w:bookmarkStart w:id="147" w:name="_Toc234382607"/>
      <w:bookmarkStart w:id="148" w:name="_Toc21604"/>
      <w:r>
        <w:rPr>
          <w:rFonts w:hint="eastAsia" w:ascii="宋体" w:hAnsi="宋体" w:cs="宋体"/>
          <w:color w:val="auto"/>
          <w:highlight w:val="none"/>
        </w:rPr>
        <w:t>3. 投标文件</w:t>
      </w:r>
      <w:bookmarkEnd w:id="144"/>
      <w:bookmarkEnd w:id="145"/>
      <w:bookmarkEnd w:id="146"/>
      <w:bookmarkEnd w:id="147"/>
      <w:bookmarkEnd w:id="148"/>
    </w:p>
    <w:p w14:paraId="39582AD6">
      <w:pPr>
        <w:pStyle w:val="258"/>
        <w:rPr>
          <w:rFonts w:ascii="宋体" w:hAnsi="宋体" w:cs="宋体"/>
          <w:color w:val="auto"/>
          <w:highlight w:val="none"/>
        </w:rPr>
      </w:pPr>
      <w:bookmarkStart w:id="149" w:name="_Toc22970"/>
      <w:bookmarkStart w:id="150" w:name="_Toc15817"/>
      <w:bookmarkStart w:id="151" w:name="_Toc3214"/>
      <w:bookmarkStart w:id="152" w:name="_Toc234382608"/>
      <w:bookmarkStart w:id="153" w:name="_Toc15148"/>
      <w:r>
        <w:rPr>
          <w:rFonts w:hint="eastAsia" w:ascii="宋体" w:hAnsi="宋体" w:cs="宋体"/>
          <w:color w:val="auto"/>
          <w:highlight w:val="none"/>
        </w:rPr>
        <w:t>3.1 投标文件的组成</w:t>
      </w:r>
      <w:bookmarkEnd w:id="149"/>
      <w:bookmarkEnd w:id="150"/>
      <w:bookmarkEnd w:id="151"/>
      <w:bookmarkEnd w:id="152"/>
      <w:bookmarkEnd w:id="153"/>
    </w:p>
    <w:p w14:paraId="7B0EBF4A">
      <w:pPr>
        <w:spacing w:line="400" w:lineRule="exact"/>
        <w:ind w:firstLine="420"/>
        <w:rPr>
          <w:rFonts w:ascii="宋体" w:hAnsi="宋体" w:eastAsia="宋体" w:cs="宋体"/>
          <w:color w:val="auto"/>
          <w:highlight w:val="none"/>
        </w:rPr>
      </w:pPr>
      <w:bookmarkStart w:id="154" w:name="_Toc275703353"/>
      <w:bookmarkStart w:id="155" w:name="_Toc12293"/>
      <w:bookmarkStart w:id="156" w:name="_Toc7877"/>
      <w:bookmarkStart w:id="157" w:name="_Toc24155"/>
      <w:bookmarkStart w:id="158" w:name="_Toc7823"/>
      <w:bookmarkStart w:id="159" w:name="_Toc234382609"/>
      <w:r>
        <w:rPr>
          <w:rFonts w:hint="eastAsia" w:ascii="宋体" w:hAnsi="宋体" w:eastAsia="宋体" w:cs="宋体"/>
          <w:color w:val="auto"/>
          <w:highlight w:val="none"/>
        </w:rPr>
        <w:t>3.1.1</w:t>
      </w:r>
      <w:bookmarkEnd w:id="154"/>
      <w:r>
        <w:rPr>
          <w:rFonts w:hint="eastAsia" w:ascii="宋体" w:hAnsi="宋体" w:eastAsia="宋体" w:cs="宋体"/>
          <w:color w:val="auto"/>
          <w:highlight w:val="none"/>
        </w:rPr>
        <w:t>投 标 函；</w:t>
      </w:r>
    </w:p>
    <w:p w14:paraId="6F16DB27">
      <w:pPr>
        <w:spacing w:line="400" w:lineRule="exact"/>
        <w:ind w:firstLine="308" w:firstLineChars="147"/>
        <w:rPr>
          <w:rFonts w:ascii="宋体" w:hAnsi="宋体" w:eastAsia="宋体" w:cs="宋体"/>
          <w:color w:val="auto"/>
          <w:highlight w:val="none"/>
        </w:rPr>
      </w:pPr>
      <w:r>
        <w:rPr>
          <w:rFonts w:hint="eastAsia" w:ascii="宋体" w:hAnsi="宋体" w:eastAsia="宋体" w:cs="宋体"/>
          <w:color w:val="auto"/>
          <w:highlight w:val="none"/>
        </w:rPr>
        <w:t xml:space="preserve"> 3.1.2法定代表人身份证明或附有法定代表人及委托人身份证明的授权委托书（除盖章、签字，其余内容均需电脑打印）； </w:t>
      </w:r>
    </w:p>
    <w:p w14:paraId="3B1BDDAA">
      <w:pPr>
        <w:spacing w:line="400" w:lineRule="exact"/>
        <w:ind w:firstLine="420"/>
        <w:rPr>
          <w:rFonts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企业法人营业执照；</w:t>
      </w:r>
    </w:p>
    <w:p w14:paraId="290AD880">
      <w:pPr>
        <w:spacing w:line="400" w:lineRule="exact"/>
        <w:ind w:firstLine="420"/>
        <w:rPr>
          <w:rFonts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企业资质证书；</w:t>
      </w:r>
    </w:p>
    <w:p w14:paraId="3673B498">
      <w:pPr>
        <w:pStyle w:val="2"/>
        <w:ind w:firstLine="420"/>
        <w:rPr>
          <w:rFonts w:ascii="宋体" w:hAnsi="宋体" w:eastAsia="宋体" w:cs="宋体"/>
          <w:color w:val="auto"/>
          <w:highlight w:val="none"/>
          <w:lang w:val="en-US"/>
        </w:rPr>
      </w:pPr>
      <w:r>
        <w:rPr>
          <w:rFonts w:hint="eastAsia" w:ascii="宋体" w:hAnsi="宋体" w:eastAsia="宋体" w:cs="宋体"/>
          <w:color w:val="auto"/>
          <w:highlight w:val="none"/>
          <w:lang w:val="en-US"/>
        </w:rPr>
        <w:t>3.1.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en-US"/>
        </w:rPr>
        <w:t>开标一览表（单独密封）</w:t>
      </w:r>
    </w:p>
    <w:p w14:paraId="52CD3097">
      <w:pPr>
        <w:pStyle w:val="2"/>
        <w:ind w:firstLine="420"/>
        <w:rPr>
          <w:rFonts w:eastAsia="宋体"/>
          <w:color w:val="auto"/>
          <w:highlight w:val="none"/>
          <w:lang w:val="en-US"/>
        </w:rPr>
      </w:pPr>
      <w:r>
        <w:rPr>
          <w:rFonts w:hint="eastAsia" w:ascii="宋体" w:hAnsi="宋体" w:eastAsia="宋体" w:cs="宋体"/>
          <w:color w:val="auto"/>
          <w:highlight w:val="none"/>
          <w:lang w:val="en-US"/>
        </w:rPr>
        <w:t>3.1.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en-US"/>
        </w:rPr>
        <w:t>业绩及技术部分</w:t>
      </w:r>
    </w:p>
    <w:p w14:paraId="549D0191">
      <w:pPr>
        <w:spacing w:line="400" w:lineRule="exact"/>
        <w:ind w:firstLine="420"/>
        <w:rPr>
          <w:rFonts w:ascii="宋体" w:hAnsi="宋体" w:eastAsia="宋体" w:cs="宋体"/>
          <w:color w:val="auto"/>
          <w:highlight w:val="none"/>
        </w:rPr>
      </w:pPr>
      <w:r>
        <w:rPr>
          <w:rFonts w:hint="eastAsia" w:ascii="宋体" w:hAnsi="宋体" w:eastAsia="宋体" w:cs="宋体"/>
          <w:color w:val="auto"/>
          <w:highlight w:val="none"/>
        </w:rPr>
        <w:t>以上资料一正二副，一式三份，3.1.1-3.1.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应加盖投标人公章 ，任意一条不满足招标文件要求均视为无效标书。</w:t>
      </w:r>
    </w:p>
    <w:p w14:paraId="627DC52D">
      <w:pPr>
        <w:spacing w:line="400" w:lineRule="exact"/>
        <w:ind w:firstLine="420"/>
        <w:rPr>
          <w:rFonts w:ascii="宋体" w:hAnsi="宋体" w:eastAsia="宋体" w:cs="宋体"/>
          <w:color w:val="auto"/>
          <w:highlight w:val="none"/>
        </w:rPr>
      </w:pPr>
      <w:r>
        <w:rPr>
          <w:rFonts w:hint="eastAsia" w:ascii="宋体" w:hAnsi="宋体" w:eastAsia="宋体" w:cs="宋体"/>
          <w:color w:val="auto"/>
          <w:highlight w:val="none"/>
        </w:rPr>
        <w:t>3.1.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单独成册</w:t>
      </w:r>
    </w:p>
    <w:p w14:paraId="7C12141D">
      <w:pPr>
        <w:pStyle w:val="258"/>
        <w:rPr>
          <w:rFonts w:ascii="宋体" w:hAnsi="宋体" w:cs="宋体"/>
          <w:color w:val="auto"/>
          <w:highlight w:val="none"/>
        </w:rPr>
      </w:pPr>
      <w:r>
        <w:rPr>
          <w:rFonts w:hint="eastAsia" w:ascii="宋体" w:hAnsi="宋体" w:cs="宋体"/>
          <w:color w:val="auto"/>
          <w:highlight w:val="none"/>
        </w:rPr>
        <w:t>3.2 投标报价</w:t>
      </w:r>
      <w:bookmarkEnd w:id="155"/>
      <w:bookmarkEnd w:id="156"/>
      <w:bookmarkEnd w:id="157"/>
      <w:bookmarkEnd w:id="158"/>
      <w:bookmarkEnd w:id="159"/>
      <w:r>
        <w:rPr>
          <w:rFonts w:hint="eastAsia" w:ascii="宋体" w:hAnsi="宋体" w:cs="宋体"/>
          <w:color w:val="auto"/>
          <w:highlight w:val="none"/>
        </w:rPr>
        <w:t xml:space="preserve"> </w:t>
      </w:r>
    </w:p>
    <w:p w14:paraId="2F12AD67">
      <w:pPr>
        <w:spacing w:line="400" w:lineRule="exact"/>
        <w:ind w:firstLine="420" w:firstLineChars="200"/>
        <w:rPr>
          <w:rFonts w:ascii="宋体" w:hAnsi="宋体" w:eastAsia="宋体" w:cs="宋体"/>
          <w:color w:val="auto"/>
          <w:szCs w:val="21"/>
          <w:highlight w:val="none"/>
        </w:rPr>
      </w:pPr>
      <w:bookmarkStart w:id="160" w:name="_Toc26761"/>
      <w:bookmarkStart w:id="161" w:name="_Toc15970"/>
      <w:bookmarkStart w:id="162" w:name="_Toc234382610"/>
      <w:bookmarkStart w:id="163" w:name="_Toc18781"/>
      <w:bookmarkStart w:id="164" w:name="_Toc12192"/>
      <w:r>
        <w:rPr>
          <w:rFonts w:hint="eastAsia" w:ascii="宋体" w:hAnsi="宋体" w:eastAsia="宋体" w:cs="宋体"/>
          <w:color w:val="auto"/>
          <w:szCs w:val="21"/>
          <w:highlight w:val="none"/>
        </w:rPr>
        <w:t>3.2.1 投标人应根据现场实际情况、甲方要求等有关要求，按照企业定额或参照建设行政主管部门发布的现行消耗量定额以及工程造价管理机构发布的市场价格信息，并结合企业自身实际情况，进行投标报价并不得高于招标人设定的最高限价（即投标最高限价）。投标最高限价详见投标须知前附表。</w:t>
      </w:r>
    </w:p>
    <w:p w14:paraId="70448B8F">
      <w:pPr>
        <w:pStyle w:val="258"/>
        <w:rPr>
          <w:rFonts w:ascii="宋体" w:hAnsi="宋体" w:cs="宋体"/>
          <w:color w:val="auto"/>
          <w:highlight w:val="none"/>
        </w:rPr>
      </w:pPr>
      <w:r>
        <w:rPr>
          <w:rFonts w:hint="eastAsia" w:ascii="宋体" w:hAnsi="宋体" w:cs="宋体"/>
          <w:color w:val="auto"/>
          <w:highlight w:val="none"/>
        </w:rPr>
        <w:t>3.3 投标有效期</w:t>
      </w:r>
      <w:bookmarkEnd w:id="160"/>
      <w:bookmarkEnd w:id="161"/>
      <w:bookmarkEnd w:id="162"/>
      <w:bookmarkEnd w:id="163"/>
      <w:bookmarkEnd w:id="164"/>
    </w:p>
    <w:p w14:paraId="4BA760B0">
      <w:pPr>
        <w:spacing w:line="400" w:lineRule="exact"/>
        <w:ind w:firstLine="420" w:firstLineChars="200"/>
        <w:rPr>
          <w:rFonts w:ascii="宋体" w:hAnsi="宋体" w:eastAsia="宋体" w:cs="宋体"/>
          <w:color w:val="auto"/>
          <w:szCs w:val="21"/>
          <w:highlight w:val="none"/>
        </w:rPr>
      </w:pPr>
      <w:bookmarkStart w:id="165" w:name="_Toc275703379"/>
      <w:bookmarkStart w:id="166" w:name="_Toc234382611"/>
      <w:bookmarkStart w:id="167" w:name="_Toc11712"/>
      <w:bookmarkStart w:id="168" w:name="_Toc26617"/>
      <w:bookmarkStart w:id="169" w:name="_Toc8409"/>
      <w:bookmarkStart w:id="170" w:name="_Toc15402"/>
      <w:r>
        <w:rPr>
          <w:rFonts w:hint="eastAsia" w:ascii="宋体" w:hAnsi="宋体" w:eastAsia="宋体" w:cs="宋体"/>
          <w:color w:val="auto"/>
          <w:szCs w:val="21"/>
          <w:highlight w:val="none"/>
        </w:rPr>
        <w:t>3.3.1 在投标人须知前附表规定的投标有效期内，投标人不得要求撤销或修改其投标文件。</w:t>
      </w:r>
      <w:bookmarkEnd w:id="165"/>
    </w:p>
    <w:p w14:paraId="212B1B6C">
      <w:pPr>
        <w:spacing w:line="400" w:lineRule="exact"/>
        <w:ind w:firstLine="420" w:firstLineChars="200"/>
        <w:rPr>
          <w:rFonts w:ascii="宋体" w:hAnsi="宋体" w:eastAsia="宋体" w:cs="宋体"/>
          <w:color w:val="auto"/>
          <w:szCs w:val="21"/>
          <w:highlight w:val="none"/>
        </w:rPr>
      </w:pPr>
      <w:bookmarkStart w:id="171" w:name="_Toc275703380"/>
      <w:r>
        <w:rPr>
          <w:rFonts w:hint="eastAsia" w:ascii="宋体" w:hAnsi="宋体" w:eastAsia="宋体" w:cs="宋体"/>
          <w:color w:val="auto"/>
          <w:szCs w:val="21"/>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End w:id="171"/>
    </w:p>
    <w:bookmarkEnd w:id="166"/>
    <w:bookmarkEnd w:id="167"/>
    <w:bookmarkEnd w:id="168"/>
    <w:bookmarkEnd w:id="169"/>
    <w:bookmarkEnd w:id="170"/>
    <w:p w14:paraId="318817BA">
      <w:pPr>
        <w:spacing w:line="400" w:lineRule="exac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3.4  投标保证金</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无）</w:t>
      </w:r>
    </w:p>
    <w:p w14:paraId="1657D2EC">
      <w:pPr>
        <w:pStyle w:val="258"/>
        <w:rPr>
          <w:rFonts w:ascii="宋体" w:hAnsi="宋体" w:cs="宋体"/>
          <w:color w:val="auto"/>
          <w:szCs w:val="21"/>
          <w:highlight w:val="none"/>
        </w:rPr>
      </w:pPr>
      <w:r>
        <w:rPr>
          <w:rFonts w:hint="eastAsia" w:ascii="宋体" w:hAnsi="宋体" w:cs="宋体"/>
          <w:color w:val="auto"/>
          <w:szCs w:val="21"/>
          <w:highlight w:val="none"/>
        </w:rPr>
        <w:t>3.5资格审查资料</w:t>
      </w:r>
    </w:p>
    <w:p w14:paraId="6442C6DC">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3.5.1 资格审查资料详见</w:t>
      </w:r>
      <w:r>
        <w:rPr>
          <w:rFonts w:hint="eastAsia" w:ascii="宋体" w:hAnsi="宋体" w:eastAsia="宋体" w:cs="宋体"/>
          <w:color w:val="auto"/>
          <w:szCs w:val="21"/>
          <w:highlight w:val="none"/>
        </w:rPr>
        <w:t>评标办法前附表</w:t>
      </w:r>
      <w:r>
        <w:rPr>
          <w:rFonts w:hint="eastAsia" w:ascii="宋体" w:hAnsi="宋体" w:eastAsia="宋体" w:cs="宋体"/>
          <w:color w:val="auto"/>
          <w:szCs w:val="21"/>
          <w:highlight w:val="none"/>
        </w:rPr>
        <w:t>中资格评审标准；</w:t>
      </w:r>
    </w:p>
    <w:p w14:paraId="3E3E11A2">
      <w:p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3.5.2招标人将进一步核查投标人在资格申请文件中提供的材料，若在评标期间发现投标人提供了虚假资料，招标人有权对投标人的投标文件作无效投标文件处理，并没收其投标保证金；若在评标结果公示期间发现作为中标候选人的投标人提供了虚假资料，招标人有权取消其中标资格并没收其投标保证金；若在合同实施期间发现投标人提供了投标人提供了虚假资料，招标人有权从工程支付款或履约保证金中扣除不超过合同总价10%的金额作为违约金。同时招标人将投标人上述弄虚作假行为上报招投标监督部门，作为不良记录纳入信用信息管理系统。 </w:t>
      </w:r>
    </w:p>
    <w:p w14:paraId="3E92B242">
      <w:pPr>
        <w:pStyle w:val="258"/>
        <w:rPr>
          <w:rFonts w:ascii="宋体" w:hAnsi="宋体" w:cs="宋体"/>
          <w:color w:val="auto"/>
          <w:szCs w:val="21"/>
          <w:highlight w:val="none"/>
        </w:rPr>
      </w:pPr>
      <w:bookmarkStart w:id="172" w:name="_Toc234382615"/>
      <w:bookmarkStart w:id="173" w:name="_Toc25533"/>
      <w:bookmarkStart w:id="174" w:name="_Toc28227"/>
      <w:bookmarkStart w:id="175" w:name="_Toc27814"/>
      <w:bookmarkStart w:id="176" w:name="_Toc21145"/>
      <w:r>
        <w:rPr>
          <w:rFonts w:hint="eastAsia" w:ascii="宋体" w:hAnsi="宋体" w:cs="宋体"/>
          <w:color w:val="auto"/>
          <w:szCs w:val="21"/>
          <w:highlight w:val="none"/>
        </w:rPr>
        <w:t>3.6投标文件的编制</w:t>
      </w:r>
      <w:bookmarkEnd w:id="172"/>
      <w:bookmarkEnd w:id="173"/>
      <w:bookmarkEnd w:id="174"/>
      <w:bookmarkEnd w:id="175"/>
      <w:bookmarkEnd w:id="176"/>
    </w:p>
    <w:p w14:paraId="3A56F51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3.6.1 投标文件应按投标文件的组成要求进行编制。要求提供材料原件的，投标人投标时要求提供原件而未提供原件或评标时评委发现未按本招标文件规定提供的原件缺项、不齐全的或无效的为无效投标文</w:t>
      </w:r>
      <w:r>
        <w:rPr>
          <w:rFonts w:hint="eastAsia" w:ascii="宋体" w:hAnsi="宋体"/>
          <w:color w:val="auto"/>
          <w:szCs w:val="21"/>
          <w:highlight w:val="none"/>
        </w:rPr>
        <w:t>件。</w:t>
      </w:r>
    </w:p>
    <w:p w14:paraId="7107DA90">
      <w:pPr>
        <w:pStyle w:val="331"/>
        <w:rPr>
          <w:rFonts w:ascii="宋体" w:hAnsi="宋体" w:cs="宋体"/>
          <w:color w:val="auto"/>
          <w:highlight w:val="none"/>
        </w:rPr>
      </w:pPr>
      <w:bookmarkStart w:id="177" w:name="_Toc32214"/>
      <w:bookmarkStart w:id="178" w:name="_Toc15559"/>
      <w:bookmarkStart w:id="179" w:name="_Toc20865"/>
      <w:bookmarkStart w:id="180" w:name="_Toc234382616"/>
      <w:bookmarkStart w:id="181" w:name="_Toc29001"/>
      <w:r>
        <w:rPr>
          <w:rFonts w:hint="eastAsia" w:ascii="宋体" w:hAnsi="宋体" w:cs="宋体"/>
          <w:color w:val="auto"/>
          <w:highlight w:val="none"/>
        </w:rPr>
        <w:t>4. 投标</w:t>
      </w:r>
      <w:bookmarkEnd w:id="177"/>
      <w:bookmarkEnd w:id="178"/>
      <w:bookmarkEnd w:id="179"/>
      <w:bookmarkEnd w:id="180"/>
      <w:bookmarkEnd w:id="181"/>
    </w:p>
    <w:p w14:paraId="6665E4FF">
      <w:pPr>
        <w:pStyle w:val="258"/>
        <w:rPr>
          <w:rFonts w:ascii="宋体" w:hAnsi="宋体" w:cs="宋体"/>
          <w:color w:val="auto"/>
          <w:highlight w:val="none"/>
        </w:rPr>
      </w:pPr>
      <w:bookmarkStart w:id="182" w:name="_Toc20549"/>
      <w:bookmarkStart w:id="183" w:name="_Toc234382617"/>
      <w:bookmarkStart w:id="184" w:name="_Toc21258"/>
      <w:bookmarkStart w:id="185" w:name="_Toc8402"/>
      <w:bookmarkStart w:id="186" w:name="_Toc30429"/>
      <w:r>
        <w:rPr>
          <w:rFonts w:hint="eastAsia" w:ascii="宋体" w:hAnsi="宋体" w:cs="宋体"/>
          <w:color w:val="auto"/>
          <w:highlight w:val="none"/>
        </w:rPr>
        <w:t>4.1 投标文件的密封和标记</w:t>
      </w:r>
      <w:bookmarkEnd w:id="182"/>
      <w:bookmarkEnd w:id="183"/>
      <w:bookmarkEnd w:id="184"/>
      <w:bookmarkEnd w:id="185"/>
      <w:bookmarkEnd w:id="186"/>
    </w:p>
    <w:p w14:paraId="0D60F422">
      <w:pPr>
        <w:spacing w:line="400" w:lineRule="exact"/>
        <w:ind w:firstLine="420" w:firstLineChars="200"/>
        <w:rPr>
          <w:rFonts w:ascii="宋体" w:hAnsi="宋体" w:eastAsia="宋体" w:cs="宋体"/>
          <w:color w:val="auto"/>
          <w:highlight w:val="none"/>
        </w:rPr>
      </w:pPr>
      <w:bookmarkStart w:id="187" w:name="_Toc275703416"/>
      <w:bookmarkStart w:id="188" w:name="_Toc27852"/>
      <w:bookmarkStart w:id="189" w:name="_Toc234382618"/>
      <w:bookmarkStart w:id="190" w:name="_Toc2524"/>
      <w:bookmarkStart w:id="191" w:name="_Toc28165"/>
      <w:bookmarkStart w:id="192" w:name="_Toc5658"/>
      <w:r>
        <w:rPr>
          <w:rFonts w:hint="eastAsia" w:ascii="宋体" w:hAnsi="宋体" w:eastAsia="宋体" w:cs="宋体"/>
          <w:color w:val="auto"/>
          <w:highlight w:val="none"/>
        </w:rPr>
        <w:t>4.1.1投标文件</w:t>
      </w:r>
      <w:r>
        <w:rPr>
          <w:rFonts w:hint="eastAsia" w:ascii="宋体" w:hAnsi="宋体" w:eastAsia="宋体" w:cs="宋体"/>
          <w:color w:val="auto"/>
          <w:highlight w:val="none"/>
        </w:rPr>
        <w:t>（一正二副）</w:t>
      </w:r>
      <w:r>
        <w:rPr>
          <w:rFonts w:hint="eastAsia" w:ascii="宋体" w:hAnsi="宋体" w:eastAsia="宋体" w:cs="宋体"/>
          <w:color w:val="auto"/>
          <w:highlight w:val="none"/>
        </w:rPr>
        <w:t>应密封包装，并在封套的封口处加盖投标人单位章。</w:t>
      </w:r>
      <w:bookmarkEnd w:id="187"/>
    </w:p>
    <w:p w14:paraId="3BFEEF40">
      <w:pPr>
        <w:pStyle w:val="258"/>
        <w:rPr>
          <w:rFonts w:ascii="宋体" w:hAnsi="宋体" w:cs="宋体"/>
          <w:color w:val="auto"/>
          <w:highlight w:val="none"/>
        </w:rPr>
      </w:pPr>
      <w:r>
        <w:rPr>
          <w:rFonts w:hint="eastAsia" w:ascii="宋体" w:hAnsi="宋体" w:cs="宋体"/>
          <w:color w:val="auto"/>
          <w:highlight w:val="none"/>
        </w:rPr>
        <w:t>4.2 投标文件的递交</w:t>
      </w:r>
      <w:bookmarkEnd w:id="188"/>
      <w:bookmarkEnd w:id="189"/>
      <w:bookmarkEnd w:id="190"/>
      <w:bookmarkEnd w:id="191"/>
      <w:bookmarkEnd w:id="192"/>
    </w:p>
    <w:p w14:paraId="2F0E295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4.2.1 投标人应在本章第 2.2.2 项规定的投标截止时间前递交投标文件。</w:t>
      </w:r>
    </w:p>
    <w:p w14:paraId="0F6BAABF">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4.2.2 除投标人须知前附表另有规定外，投标人所递交的投标文件（除原件外）不予退还。</w:t>
      </w:r>
    </w:p>
    <w:p w14:paraId="0D582C1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4.2.3 投标截止时间后，未送达指定地点的投标文件，招标人不予受理。</w:t>
      </w:r>
    </w:p>
    <w:p w14:paraId="0F1AECD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4.2.4在特殊情况下，招标人如果决定延后递交投标截止时间，应在投标人须知前附表规定的时间前，通知所有投标人延后投标截止时间。在此情况下，招标人和投标人的权利和义务相应延后至新的投标截止时间。</w:t>
      </w:r>
    </w:p>
    <w:p w14:paraId="77BAFC87">
      <w:pPr>
        <w:pStyle w:val="258"/>
        <w:rPr>
          <w:rFonts w:ascii="宋体" w:hAnsi="宋体" w:cs="宋体"/>
          <w:color w:val="auto"/>
          <w:highlight w:val="none"/>
        </w:rPr>
      </w:pPr>
      <w:bookmarkStart w:id="193" w:name="_Toc30820"/>
      <w:bookmarkStart w:id="194" w:name="_Toc30347"/>
      <w:bookmarkStart w:id="195" w:name="_Toc234382619"/>
      <w:bookmarkStart w:id="196" w:name="_Toc27989"/>
      <w:bookmarkStart w:id="197" w:name="_Toc31041"/>
      <w:r>
        <w:rPr>
          <w:rFonts w:hint="eastAsia" w:ascii="宋体" w:hAnsi="宋体" w:cs="宋体"/>
          <w:color w:val="auto"/>
          <w:highlight w:val="none"/>
        </w:rPr>
        <w:t>4.3 投标文件的修改与撤回</w:t>
      </w:r>
      <w:bookmarkEnd w:id="193"/>
      <w:bookmarkEnd w:id="194"/>
      <w:bookmarkEnd w:id="195"/>
      <w:bookmarkEnd w:id="196"/>
      <w:bookmarkEnd w:id="197"/>
    </w:p>
    <w:p w14:paraId="5D7993C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4.3.1 在本章第 2.2.2 项规定的投标截止时间前，投标人可以撤回已递交的投标文件。</w:t>
      </w:r>
    </w:p>
    <w:p w14:paraId="0D46D7F1">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4.3.2 投标人撤回已递交投标文件后如需投标，须重新送达。</w:t>
      </w:r>
    </w:p>
    <w:p w14:paraId="44E95ED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4.3.3修改后的投标文件应按招标文件规定进行编制、密封、标记和递交。</w:t>
      </w:r>
    </w:p>
    <w:p w14:paraId="01490A37">
      <w:pPr>
        <w:pStyle w:val="331"/>
        <w:rPr>
          <w:rFonts w:ascii="宋体" w:hAnsi="宋体" w:cs="宋体"/>
          <w:color w:val="auto"/>
          <w:highlight w:val="none"/>
        </w:rPr>
      </w:pPr>
      <w:bookmarkStart w:id="198" w:name="_Toc28473"/>
      <w:bookmarkStart w:id="199" w:name="_Toc3293"/>
      <w:bookmarkStart w:id="200" w:name="_Toc32547"/>
      <w:bookmarkStart w:id="201" w:name="_Toc234382620"/>
      <w:bookmarkStart w:id="202" w:name="_Toc28812"/>
      <w:bookmarkStart w:id="203" w:name="EBe031f9b76cb74dce9fc506aab2319168"/>
      <w:r>
        <w:rPr>
          <w:rFonts w:hint="eastAsia" w:ascii="宋体" w:hAnsi="宋体" w:cs="宋体"/>
          <w:color w:val="auto"/>
          <w:highlight w:val="none"/>
        </w:rPr>
        <w:t>5. 开标</w:t>
      </w:r>
      <w:bookmarkEnd w:id="198"/>
      <w:bookmarkEnd w:id="199"/>
      <w:bookmarkEnd w:id="200"/>
      <w:bookmarkEnd w:id="201"/>
      <w:bookmarkEnd w:id="202"/>
    </w:p>
    <w:p w14:paraId="4D336BD2">
      <w:pPr>
        <w:pStyle w:val="258"/>
        <w:rPr>
          <w:rFonts w:ascii="宋体" w:hAnsi="宋体" w:cs="宋体"/>
          <w:color w:val="auto"/>
          <w:highlight w:val="none"/>
        </w:rPr>
      </w:pPr>
      <w:bookmarkStart w:id="204" w:name="_Toc18854"/>
      <w:bookmarkStart w:id="205" w:name="_Toc234382621"/>
      <w:bookmarkStart w:id="206" w:name="_Toc23550"/>
      <w:bookmarkStart w:id="207" w:name="_Toc4431"/>
      <w:bookmarkStart w:id="208" w:name="_Toc8283"/>
      <w:r>
        <w:rPr>
          <w:rFonts w:hint="eastAsia" w:ascii="宋体" w:hAnsi="宋体" w:cs="宋体"/>
          <w:color w:val="auto"/>
          <w:highlight w:val="none"/>
        </w:rPr>
        <w:t>5.1 开标时间和地点</w:t>
      </w:r>
      <w:bookmarkEnd w:id="204"/>
      <w:bookmarkEnd w:id="205"/>
      <w:bookmarkEnd w:id="206"/>
      <w:bookmarkEnd w:id="207"/>
      <w:bookmarkEnd w:id="208"/>
    </w:p>
    <w:p w14:paraId="637D11F9">
      <w:pPr>
        <w:spacing w:line="400" w:lineRule="exact"/>
        <w:ind w:firstLine="420" w:firstLineChars="200"/>
        <w:rPr>
          <w:rFonts w:ascii="宋体" w:hAnsi="宋体" w:eastAsia="宋体" w:cs="宋体"/>
          <w:color w:val="auto"/>
          <w:szCs w:val="21"/>
          <w:highlight w:val="none"/>
        </w:rPr>
      </w:pPr>
      <w:bookmarkStart w:id="209" w:name="_Toc234382623"/>
      <w:bookmarkStart w:id="210" w:name="_Toc30092"/>
      <w:bookmarkStart w:id="211" w:name="_Toc23805"/>
      <w:bookmarkStart w:id="212" w:name="_Toc24526"/>
      <w:bookmarkStart w:id="213" w:name="_Toc19197"/>
      <w:r>
        <w:rPr>
          <w:rFonts w:hint="eastAsia" w:ascii="宋体" w:hAnsi="宋体" w:eastAsia="宋体" w:cs="宋体"/>
          <w:color w:val="auto"/>
          <w:szCs w:val="21"/>
          <w:highlight w:val="none"/>
        </w:rPr>
        <w:t>5.1.1招标人在本章第 2.2.2 项规定的投标截止时间（开标时间）和投标人须知前附表规定的地点公开开标。未在投标截止时间之前提交投标文件的，视为投标人放弃投标。</w:t>
      </w:r>
    </w:p>
    <w:p w14:paraId="2A58DE09">
      <w:pPr>
        <w:pStyle w:val="258"/>
        <w:rPr>
          <w:rFonts w:ascii="宋体" w:hAnsi="宋体" w:cs="宋体"/>
          <w:color w:val="auto"/>
          <w:highlight w:val="none"/>
        </w:rPr>
      </w:pPr>
      <w:r>
        <w:rPr>
          <w:rFonts w:hint="eastAsia" w:ascii="宋体" w:hAnsi="宋体" w:cs="宋体"/>
          <w:color w:val="auto"/>
          <w:highlight w:val="none"/>
        </w:rPr>
        <w:t>5.2 开标程序</w:t>
      </w:r>
      <w:bookmarkEnd w:id="209"/>
      <w:bookmarkEnd w:id="210"/>
      <w:bookmarkEnd w:id="211"/>
      <w:bookmarkEnd w:id="212"/>
      <w:bookmarkEnd w:id="213"/>
    </w:p>
    <w:p w14:paraId="3E128B0E">
      <w:pPr>
        <w:spacing w:line="400" w:lineRule="exact"/>
        <w:ind w:firstLine="420" w:firstLineChars="200"/>
        <w:rPr>
          <w:rFonts w:ascii="宋体" w:hAnsi="宋体" w:eastAsia="宋体" w:cs="宋体"/>
          <w:color w:val="auto"/>
          <w:szCs w:val="21"/>
          <w:highlight w:val="none"/>
        </w:rPr>
      </w:pPr>
      <w:bookmarkStart w:id="214" w:name="_Toc22680"/>
      <w:r>
        <w:rPr>
          <w:rFonts w:hint="eastAsia" w:ascii="宋体" w:hAnsi="宋体" w:eastAsia="宋体" w:cs="宋体"/>
          <w:color w:val="auto"/>
          <w:szCs w:val="21"/>
          <w:highlight w:val="none"/>
        </w:rPr>
        <w:t>5.2.1 主持人按下列程序进行开标：</w:t>
      </w:r>
    </w:p>
    <w:p w14:paraId="7CE8E23A">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5C6FADA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（2）公布在投标截止时间前递交投标文件的投标人名称，核验投标人法定代表人或其委托人身份；</w:t>
      </w:r>
    </w:p>
    <w:p w14:paraId="4A367FF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（3）招标人或招标代理人对投标文件进行拆封；</w:t>
      </w:r>
    </w:p>
    <w:p w14:paraId="5CC46D17">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（4）公布投标人名称、标段名称、投标报价、质量目标、工期、项目负责人及其他内容</w:t>
      </w:r>
    </w:p>
    <w:p w14:paraId="27F617B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（5）投标人代表抽取评标基准价系数（如有）；</w:t>
      </w:r>
    </w:p>
    <w:p w14:paraId="3D3EC68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（6）投标人授权委托人、招标人代表、监标人等有关人员在开标记录上签字确认；</w:t>
      </w:r>
    </w:p>
    <w:p w14:paraId="1A84FCF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（7）开标结束。</w:t>
      </w:r>
    </w:p>
    <w:p w14:paraId="1E40564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5.2.2投标人对开标有异议的，应当在开标现场提出，招标人应当当场作出答复，并制作记录。投标人对开标有异议而未在开标现场提出得，招标人将不予受理。</w:t>
      </w:r>
    </w:p>
    <w:p w14:paraId="7E253BCB">
      <w:pPr>
        <w:pStyle w:val="258"/>
        <w:rPr>
          <w:rFonts w:ascii="宋体" w:hAnsi="宋体" w:cs="宋体"/>
          <w:color w:val="auto"/>
          <w:szCs w:val="21"/>
          <w:highlight w:val="none"/>
        </w:rPr>
      </w:pPr>
      <w:r>
        <w:rPr>
          <w:rFonts w:hint="eastAsia"/>
          <w:color w:val="auto"/>
          <w:highlight w:val="none"/>
        </w:rPr>
        <w:t>5.3</w:t>
      </w:r>
      <w:r>
        <w:rPr>
          <w:rFonts w:hint="eastAsia" w:ascii="宋体" w:hAnsi="宋体" w:cs="宋体"/>
          <w:color w:val="auto"/>
          <w:szCs w:val="21"/>
          <w:highlight w:val="none"/>
        </w:rPr>
        <w:t xml:space="preserve"> 开标过程中出现下列情形之一的，视为投标人放弃投标</w:t>
      </w:r>
    </w:p>
    <w:p w14:paraId="3A42096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5.3.1投标人的法定代表人或其委托人与出席开标会的法定代表人或其委托人不一致的；</w:t>
      </w:r>
    </w:p>
    <w:p w14:paraId="0035DEA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5.3.2投标人法定代表人或其委托人擅自离开开标现场，造成无法核验法定代表人或其委托人身份的；</w:t>
      </w:r>
    </w:p>
    <w:p w14:paraId="3A976BBC">
      <w:pPr>
        <w:pStyle w:val="52"/>
        <w:rPr>
          <w:rFonts w:ascii="宋体" w:hAnsi="宋体" w:eastAsia="宋体" w:cs="宋体"/>
          <w:color w:val="auto"/>
          <w:szCs w:val="21"/>
          <w:highlight w:val="none"/>
        </w:rPr>
      </w:pPr>
    </w:p>
    <w:p w14:paraId="0EF2998F">
      <w:pPr>
        <w:pStyle w:val="331"/>
        <w:rPr>
          <w:rFonts w:ascii="宋体" w:hAnsi="宋体" w:cs="宋体"/>
          <w:color w:val="auto"/>
          <w:highlight w:val="none"/>
        </w:rPr>
      </w:pPr>
      <w:r>
        <w:rPr>
          <w:rFonts w:hint="eastAsia" w:ascii="宋体" w:hAnsi="宋体" w:cs="宋体"/>
          <w:color w:val="auto"/>
          <w:highlight w:val="none"/>
        </w:rPr>
        <w:t>6.定标</w:t>
      </w:r>
      <w:bookmarkEnd w:id="214"/>
    </w:p>
    <w:p w14:paraId="65DF778A">
      <w:pPr>
        <w:pStyle w:val="258"/>
        <w:rPr>
          <w:rFonts w:ascii="宋体" w:hAnsi="宋体" w:cs="宋体"/>
          <w:color w:val="auto"/>
          <w:highlight w:val="none"/>
        </w:rPr>
      </w:pPr>
      <w:bookmarkStart w:id="215" w:name="_Toc3926"/>
      <w:bookmarkStart w:id="216" w:name="_Toc16425"/>
      <w:bookmarkStart w:id="217" w:name="_Toc10791"/>
      <w:r>
        <w:rPr>
          <w:rFonts w:hint="eastAsia" w:ascii="宋体" w:hAnsi="宋体" w:cs="宋体"/>
          <w:color w:val="auto"/>
          <w:highlight w:val="none"/>
        </w:rPr>
        <w:t>6.1中标结果公示</w:t>
      </w:r>
      <w:bookmarkEnd w:id="215"/>
      <w:bookmarkEnd w:id="216"/>
      <w:bookmarkEnd w:id="217"/>
    </w:p>
    <w:p w14:paraId="135734D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6.1.1招标人在收到评标报告之日起3日内应当在招标公告发布媒介上公示中标候选人情况、评标结果及拟定中标人名称，公示期不少于3日。</w:t>
      </w:r>
    </w:p>
    <w:p w14:paraId="4924C4C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6.1.2投标人或者其他利害关系人对依法必须进行招标的项目的评标结果有异议的，应当在中标候选人公示期间提出。招标人应当自收到异议之日起3 日内作出答复；作出答复前，应当暂停招标投标活动。</w:t>
      </w:r>
    </w:p>
    <w:p w14:paraId="452BFF94">
      <w:pPr>
        <w:pStyle w:val="52"/>
        <w:rPr>
          <w:rFonts w:ascii="宋体" w:hAnsi="宋体" w:eastAsia="宋体" w:cs="宋体"/>
          <w:color w:val="auto"/>
          <w:szCs w:val="21"/>
          <w:highlight w:val="none"/>
        </w:rPr>
      </w:pPr>
    </w:p>
    <w:p w14:paraId="501BB7BD">
      <w:pPr>
        <w:pStyle w:val="258"/>
        <w:rPr>
          <w:rFonts w:ascii="宋体" w:hAnsi="宋体" w:cs="宋体"/>
          <w:color w:val="auto"/>
          <w:highlight w:val="none"/>
        </w:rPr>
      </w:pPr>
      <w:bookmarkStart w:id="218" w:name="_Toc234382631"/>
      <w:bookmarkStart w:id="219" w:name="_Toc24716"/>
      <w:bookmarkStart w:id="220" w:name="_Toc10449"/>
      <w:bookmarkStart w:id="221" w:name="_Toc9746"/>
      <w:bookmarkStart w:id="222" w:name="_Toc13872"/>
      <w:r>
        <w:rPr>
          <w:rFonts w:hint="eastAsia" w:ascii="宋体" w:hAnsi="宋体" w:cs="宋体"/>
          <w:color w:val="auto"/>
          <w:highlight w:val="none"/>
        </w:rPr>
        <w:t>6.2 中标通知</w:t>
      </w:r>
      <w:bookmarkEnd w:id="218"/>
      <w:bookmarkEnd w:id="219"/>
      <w:bookmarkEnd w:id="220"/>
      <w:bookmarkEnd w:id="221"/>
      <w:bookmarkEnd w:id="222"/>
    </w:p>
    <w:p w14:paraId="3452123A">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6.2.1投标人或者其他利害关系人在中标候选人、评标结果及拟定中标人公示期间无异议，招标人一般应当在5日内确定中标人，但最迟应当在投标有效期满前确定。</w:t>
      </w:r>
    </w:p>
    <w:p w14:paraId="74A90B8D">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6.2.2中标人确定后，招标人应当将中标人名称、中标价和项目负责人信息在招标公告发布媒介上予以公告，并发出中标通知书。</w:t>
      </w:r>
    </w:p>
    <w:p w14:paraId="61888CBE">
      <w:pPr>
        <w:pStyle w:val="331"/>
        <w:rPr>
          <w:rFonts w:ascii="宋体" w:hAnsi="宋体" w:cs="宋体"/>
          <w:color w:val="auto"/>
          <w:highlight w:val="none"/>
        </w:rPr>
      </w:pPr>
      <w:r>
        <w:rPr>
          <w:rFonts w:hint="eastAsia" w:ascii="宋体" w:hAnsi="宋体" w:cs="宋体"/>
          <w:color w:val="auto"/>
          <w:highlight w:val="none"/>
        </w:rPr>
        <w:t>7.合同</w:t>
      </w:r>
    </w:p>
    <w:p w14:paraId="6A5005A1">
      <w:pPr>
        <w:pStyle w:val="258"/>
        <w:rPr>
          <w:rFonts w:ascii="宋体" w:hAnsi="宋体" w:cs="宋体"/>
          <w:color w:val="auto"/>
          <w:highlight w:val="none"/>
        </w:rPr>
      </w:pPr>
      <w:r>
        <w:rPr>
          <w:rFonts w:hint="eastAsia" w:ascii="宋体" w:hAnsi="宋体" w:cs="宋体"/>
          <w:color w:val="auto"/>
          <w:highlight w:val="none"/>
        </w:rPr>
        <w:t>7.1 签订合同</w:t>
      </w:r>
    </w:p>
    <w:p w14:paraId="515CC8A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7.1.1 招标人和中标人应当在规定的时间内，根据招标文件和中标人的投标文件订立书面合同。</w:t>
      </w:r>
    </w:p>
    <w:p w14:paraId="3910DE5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7.1.2中标人无正当理由拒签合同的，招标人取消其中标资格，其投标保证金不予退还；给招标人造成的损失超过投标保证金数额的，中标人还应当对超过部分予以赔偿。</w:t>
      </w:r>
    </w:p>
    <w:p w14:paraId="18B7B188">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7.1.3发出中标通知书后，招标人无正当理由拒签合同的，招标人向中标人退还投标保证金；给中标人造成损失的，还应当赔偿损失。</w:t>
      </w:r>
    </w:p>
    <w:p w14:paraId="513D9E6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7.1.</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t>如果根据招标文件相关规定，招标人取消了中标人的中标资格，在此情况下，招标人可将合同授予下一个中标候选人，或者按规定重新组织招标。</w:t>
      </w:r>
    </w:p>
    <w:p w14:paraId="2BF1F37F">
      <w:pPr>
        <w:rPr>
          <w:rFonts w:ascii="宋体" w:hAnsi="宋体" w:eastAsia="宋体" w:cs="宋体"/>
          <w:color w:val="auto"/>
          <w:highlight w:val="none"/>
        </w:rPr>
      </w:pPr>
      <w:r>
        <w:rPr>
          <w:rFonts w:hint="eastAsia" w:ascii="宋体" w:hAnsi="宋体" w:eastAsia="宋体" w:cs="宋体"/>
          <w:color w:val="auto"/>
          <w:sz w:val="20"/>
          <w:highlight w:val="none"/>
        </w:rPr>
        <w:t xml:space="preserve"> </w:t>
      </w:r>
      <w:bookmarkEnd w:id="203"/>
    </w:p>
    <w:p w14:paraId="75714A55">
      <w:pPr>
        <w:rPr>
          <w:rFonts w:ascii="宋体" w:hAnsi="宋体" w:eastAsia="宋体" w:cs="宋体"/>
          <w:color w:val="auto"/>
          <w:highlight w:val="none"/>
        </w:rPr>
      </w:pPr>
      <w:bookmarkStart w:id="223" w:name="EB7d2e503a56244111b3601dbd1e441d60"/>
      <w:r>
        <w:rPr>
          <w:rFonts w:hint="eastAsia" w:ascii="宋体" w:hAnsi="宋体" w:eastAsia="宋体" w:cs="宋体"/>
          <w:color w:val="auto"/>
          <w:sz w:val="20"/>
          <w:highlight w:val="none"/>
        </w:rPr>
        <w:t xml:space="preserve"> </w:t>
      </w:r>
      <w:bookmarkEnd w:id="223"/>
      <w:bookmarkStart w:id="224" w:name="EBf78e21ddc82e4e8eb7ef640b3b63171e"/>
      <w:r>
        <w:rPr>
          <w:rFonts w:hint="eastAsia" w:ascii="宋体" w:hAnsi="宋体" w:eastAsia="宋体" w:cs="宋体"/>
          <w:color w:val="auto"/>
          <w:sz w:val="20"/>
          <w:highlight w:val="none"/>
        </w:rPr>
        <w:t xml:space="preserve"> </w:t>
      </w:r>
      <w:bookmarkEnd w:id="224"/>
    </w:p>
    <w:p w14:paraId="56D38C04">
      <w:pPr>
        <w:pStyle w:val="331"/>
        <w:rPr>
          <w:rFonts w:ascii="宋体" w:hAnsi="宋体" w:cs="宋体"/>
          <w:color w:val="auto"/>
          <w:highlight w:val="none"/>
        </w:rPr>
      </w:pPr>
      <w:bookmarkStart w:id="225" w:name="_Toc3460"/>
      <w:bookmarkStart w:id="226" w:name="_Toc9411"/>
      <w:bookmarkStart w:id="227" w:name="_Toc234382634"/>
      <w:bookmarkStart w:id="228" w:name="_Toc13510"/>
      <w:bookmarkStart w:id="229" w:name="_Toc21615"/>
      <w:r>
        <w:rPr>
          <w:rFonts w:hint="eastAsia" w:ascii="宋体" w:hAnsi="宋体" w:cs="宋体"/>
          <w:color w:val="auto"/>
          <w:highlight w:val="none"/>
        </w:rPr>
        <w:t>8. 重新招标和不再招标</w:t>
      </w:r>
      <w:bookmarkEnd w:id="225"/>
      <w:bookmarkEnd w:id="226"/>
      <w:bookmarkEnd w:id="227"/>
      <w:bookmarkEnd w:id="228"/>
      <w:bookmarkEnd w:id="229"/>
    </w:p>
    <w:p w14:paraId="02323B64">
      <w:pPr>
        <w:pStyle w:val="258"/>
        <w:rPr>
          <w:rFonts w:ascii="宋体" w:hAnsi="宋体" w:cs="宋体"/>
          <w:color w:val="auto"/>
          <w:highlight w:val="none"/>
        </w:rPr>
      </w:pPr>
      <w:bookmarkStart w:id="230" w:name="_Toc21691"/>
      <w:bookmarkStart w:id="231" w:name="_Toc6107"/>
      <w:bookmarkStart w:id="232" w:name="_Toc15825"/>
      <w:bookmarkStart w:id="233" w:name="_Toc19683"/>
      <w:bookmarkStart w:id="234" w:name="_Toc234382635"/>
      <w:r>
        <w:rPr>
          <w:rFonts w:hint="eastAsia" w:ascii="宋体" w:hAnsi="宋体" w:cs="宋体"/>
          <w:color w:val="auto"/>
          <w:highlight w:val="none"/>
        </w:rPr>
        <w:t>8.1 重新招标</w:t>
      </w:r>
      <w:bookmarkEnd w:id="230"/>
      <w:bookmarkEnd w:id="231"/>
      <w:bookmarkEnd w:id="232"/>
      <w:bookmarkEnd w:id="233"/>
      <w:bookmarkEnd w:id="234"/>
    </w:p>
    <w:p w14:paraId="1BC57AE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有下列情形之一的，招标人将重新招标：</w:t>
      </w:r>
    </w:p>
    <w:p w14:paraId="48CB3A0D">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14:paraId="79F05BF7">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（2）经招投标小组评审后否决所有投标的；</w:t>
      </w:r>
    </w:p>
    <w:p w14:paraId="117FF3A9">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（3）中标候选人均未与招标人签订合同的；</w:t>
      </w:r>
    </w:p>
    <w:p w14:paraId="6BB7863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（4）法律、法规规定的其他情形。</w:t>
      </w:r>
    </w:p>
    <w:p w14:paraId="3BF62D8C">
      <w:pPr>
        <w:pStyle w:val="258"/>
        <w:rPr>
          <w:rFonts w:ascii="宋体" w:hAnsi="宋体" w:cs="宋体"/>
          <w:color w:val="auto"/>
          <w:highlight w:val="none"/>
        </w:rPr>
      </w:pPr>
      <w:bookmarkStart w:id="235" w:name="_Toc26128"/>
      <w:bookmarkStart w:id="236" w:name="_Toc234382636"/>
      <w:bookmarkStart w:id="237" w:name="_Toc21117"/>
      <w:bookmarkStart w:id="238" w:name="_Toc23404"/>
      <w:bookmarkStart w:id="239" w:name="_Toc6866"/>
      <w:r>
        <w:rPr>
          <w:rFonts w:hint="eastAsia" w:ascii="宋体" w:hAnsi="宋体" w:cs="宋体"/>
          <w:color w:val="auto"/>
          <w:highlight w:val="none"/>
        </w:rPr>
        <w:t>8.2 不再招标</w:t>
      </w:r>
      <w:bookmarkEnd w:id="235"/>
      <w:bookmarkEnd w:id="236"/>
      <w:bookmarkEnd w:id="237"/>
      <w:bookmarkEnd w:id="238"/>
      <w:bookmarkEnd w:id="239"/>
    </w:p>
    <w:p w14:paraId="137DF65A">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重新招标后投标人仍少于3 个或者所有投标被否决的，属于必须审批或核准的工程建设项目，经原审批或核准部门批准后不再进行招标。</w:t>
      </w:r>
    </w:p>
    <w:p w14:paraId="714920F0">
      <w:pPr>
        <w:pStyle w:val="52"/>
        <w:ind w:left="0" w:leftChars="0" w:firstLine="0" w:firstLineChars="0"/>
        <w:rPr>
          <w:rFonts w:ascii="宋体" w:hAnsi="宋体" w:eastAsia="宋体" w:cs="宋体"/>
          <w:color w:val="auto"/>
          <w:szCs w:val="21"/>
          <w:highlight w:val="none"/>
        </w:rPr>
      </w:pPr>
    </w:p>
    <w:p w14:paraId="477BCD01">
      <w:pPr>
        <w:spacing w:line="400" w:lineRule="exact"/>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9. 异议和投诉</w:t>
      </w:r>
    </w:p>
    <w:p w14:paraId="7D52534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9.1 异议</w:t>
      </w:r>
    </w:p>
    <w:p w14:paraId="4ED992A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9.1.1 投标人或者其他利害关系人认为招标投标活动不符合法律、法规和规章规定的,可以依法向招标人提出异议，也可以在知道或者应当知道之日起 10 日内，向有关行政监督部门投诉，但就《中华人民共和国招标投标法实施条例》第二十二条、第四十四条、第五十四条规定事项进行投诉的，应当依法先向招标人提出异议。</w:t>
      </w:r>
    </w:p>
    <w:p w14:paraId="6B3F7C0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9.1.2 异议提出的期限规定如下：</w:t>
      </w:r>
    </w:p>
    <w:p w14:paraId="565F3E1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（1）对资格预审文件有异议的，潜在投标人或者其他利害关系人应当在提交资格预审申请文件截止时间 2 日前提出；</w:t>
      </w:r>
    </w:p>
    <w:p w14:paraId="062D3B1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（2）对招标文件有异议的，潜在投标人或者其他利害关系人应当在投标截止时间 3 日前提出， 其中对采用合理价随机确定中标人法发包的， 在提交投标文件截止时间 1 日前提出；</w:t>
      </w:r>
    </w:p>
    <w:p w14:paraId="28FCA2B3">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（3）对资格预审不合格结果有异议的，应在资格预审未入围结果公示期内提出；</w:t>
      </w:r>
    </w:p>
    <w:p w14:paraId="03F4427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（4）对开标有异议的，应当在开标现场提出；开标结束后投标人不得对开标事项再提出异议；</w:t>
      </w:r>
    </w:p>
    <w:p w14:paraId="4F04C8CD">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（5）对评标结果有异议的，投标人或者其他利害关系人应当在中标候选人的公示期间提出。</w:t>
      </w:r>
    </w:p>
    <w:p w14:paraId="6F74230F">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9.1.3 异议人对除涉及开标事项提出异议的， 应当向招标人提交异议书 （格式和内容见《江苏省房屋建筑和市政基础设施工程招标投标活动异议与投诉处理实施办法》 （苏建规字[2016]4 号））。</w:t>
      </w:r>
    </w:p>
    <w:p w14:paraId="6F4E5F54">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9.1.4 招标人将在法定时限内完成异议处理。对资格预审文件、招标文件、评标结果的异议，招标人应当自异议受理之日起 3 日内作出书面答复，答复内容不得涉及商业秘密。招标人处理异议需要进行检验、检测、鉴定、调查取证、组织专家评审或到外地调查的，所需时间不计入前款规定时限。</w:t>
      </w:r>
    </w:p>
    <w:p w14:paraId="3DA2491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9.2 投诉</w:t>
      </w:r>
    </w:p>
    <w:p w14:paraId="78C3158D">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9.2.1 对资格预审公告、招标公告、资格预审文件、招标文件、招标控制价、资格预审结果、评标结果提出投诉的，以其发布或者公示之日作为投诉人知道或者应当知道之日。</w:t>
      </w:r>
    </w:p>
    <w:p w14:paraId="52CAA52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9.2.2 投诉人应当向项目所在地行政监督部门投诉。 投诉应当提交投诉书 （格式和内容见《江苏省房屋建筑和市政基础设施工程招标投标活动异议与投诉处理实施办法》 （苏建规字[2016]4 号））。对依法应当在投诉前提出异议的事项，投诉时应当同时附上异议书和招标人异议答复函。</w:t>
      </w:r>
    </w:p>
    <w:p w14:paraId="1FF052EE">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9.2.3 有下列情形之一的投诉，不予受理：</w:t>
      </w:r>
    </w:p>
    <w:p w14:paraId="0349C540">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（1）投诉人不是所投诉招标投标活动的参与者，或者与投诉项目无任何利害关系，或者无法证明其为招投标活动的参与者或者其它利害关系的；</w:t>
      </w:r>
    </w:p>
    <w:p w14:paraId="1D5D187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（2）投诉事项不具体，且未提供有效线索，难以查证的；</w:t>
      </w:r>
    </w:p>
    <w:p w14:paraId="117738AA">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（3）投诉书未署具投诉人真实姓名、签字和有效联系方式的；以法人名义投诉的，投诉书未经法定代表人或者授权委托人签字并加盖公章的；</w:t>
      </w:r>
    </w:p>
    <w:p w14:paraId="45FDBC7B">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（4）超过投诉时效的；</w:t>
      </w:r>
    </w:p>
    <w:p w14:paraId="6F633591">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（5）已经作出处理决定，并且投诉人没有提出新的证据；</w:t>
      </w:r>
    </w:p>
    <w:p w14:paraId="67BF79FC">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（6）准予撤回投诉后又以同一事实和理由提出投诉的；</w:t>
      </w:r>
    </w:p>
    <w:p w14:paraId="1F6173F2">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（7）应先提出异议的投诉事项没有提出异议的，或者招标人已暂停招投标活动并正在对异议人提出的异议进行调查处理的；</w:t>
      </w:r>
    </w:p>
    <w:p w14:paraId="467FE6C5">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（8）投诉事项已进入行政复议或者行政诉讼程序的；</w:t>
      </w:r>
    </w:p>
    <w:p w14:paraId="7CE390D6">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（9）投诉人就同一事实和理由再提出投诉的。</w:t>
      </w:r>
    </w:p>
    <w:p w14:paraId="0DA6056D">
      <w:pPr>
        <w:pStyle w:val="52"/>
        <w:rPr>
          <w:rFonts w:ascii="宋体" w:hAnsi="宋体" w:eastAsia="宋体" w:cs="宋体"/>
          <w:color w:val="auto"/>
          <w:szCs w:val="21"/>
          <w:highlight w:val="none"/>
        </w:rPr>
      </w:pPr>
    </w:p>
    <w:p w14:paraId="6B53F177">
      <w:pPr>
        <w:rPr>
          <w:color w:val="auto"/>
          <w:highlight w:val="none"/>
        </w:rPr>
      </w:pPr>
      <w:bookmarkStart w:id="240" w:name="_Toc71705731"/>
      <w:r>
        <w:rPr>
          <w:rFonts w:hint="eastAsia"/>
          <w:color w:val="auto"/>
          <w:highlight w:val="none"/>
        </w:rPr>
        <w:br w:type="page"/>
      </w:r>
    </w:p>
    <w:bookmarkEnd w:id="30"/>
    <w:bookmarkEnd w:id="31"/>
    <w:bookmarkEnd w:id="32"/>
    <w:bookmarkEnd w:id="33"/>
    <w:bookmarkEnd w:id="240"/>
    <w:p w14:paraId="4952E98E">
      <w:pPr>
        <w:pStyle w:val="3"/>
        <w:jc w:val="center"/>
        <w:rPr>
          <w:rFonts w:ascii="宋体" w:hAnsi="宋体"/>
          <w:color w:val="auto"/>
          <w:highlight w:val="none"/>
        </w:rPr>
      </w:pPr>
      <w:bookmarkStart w:id="241" w:name="EB1c1bbb094230470b9308ea6f42ff24ff"/>
      <w:r>
        <w:rPr>
          <w:rFonts w:ascii="宋体" w:hAnsi="宋体" w:cs="黑体"/>
          <w:color w:val="auto"/>
          <w:highlight w:val="none"/>
        </w:rPr>
        <w:t>第三章</w:t>
      </w:r>
      <w:r>
        <w:rPr>
          <w:rFonts w:ascii="宋体" w:hAnsi="宋体"/>
          <w:b w:val="0"/>
          <w:color w:val="auto"/>
          <w:highlight w:val="none"/>
        </w:rPr>
        <w:t xml:space="preserve"> </w:t>
      </w:r>
      <w:r>
        <w:rPr>
          <w:rFonts w:ascii="宋体" w:hAnsi="宋体" w:cs="黑体"/>
          <w:color w:val="auto"/>
          <w:highlight w:val="none"/>
        </w:rPr>
        <w:t>评标办法（综合评估法）</w:t>
      </w:r>
    </w:p>
    <w:p w14:paraId="0973F1E7">
      <w:pPr>
        <w:pStyle w:val="4"/>
        <w:spacing w:after="0" w:line="259" w:lineRule="auto"/>
        <w:jc w:val="center"/>
        <w:rPr>
          <w:rFonts w:ascii="宋体" w:hAnsi="宋体" w:eastAsia="宋体"/>
          <w:color w:val="auto"/>
          <w:highlight w:val="none"/>
        </w:rPr>
      </w:pPr>
      <w:bookmarkStart w:id="242" w:name="_Toc106960104"/>
      <w:bookmarkStart w:id="243" w:name="_Toc1951"/>
      <w:r>
        <w:rPr>
          <w:rFonts w:ascii="宋体" w:hAnsi="宋体" w:eastAsia="宋体" w:cs="黑体"/>
          <w:color w:val="auto"/>
          <w:highlight w:val="none"/>
        </w:rPr>
        <w:t>评标办法前附表</w:t>
      </w:r>
      <w:bookmarkEnd w:id="242"/>
      <w:bookmarkEnd w:id="243"/>
    </w:p>
    <w:tbl>
      <w:tblPr>
        <w:tblStyle w:val="53"/>
        <w:tblW w:w="8704" w:type="dxa"/>
        <w:tblInd w:w="43" w:type="dxa"/>
        <w:tblLayout w:type="autofit"/>
        <w:tblCellMar>
          <w:top w:w="89" w:type="dxa"/>
          <w:left w:w="106" w:type="dxa"/>
          <w:bottom w:w="0" w:type="dxa"/>
          <w:right w:w="0" w:type="dxa"/>
        </w:tblCellMar>
      </w:tblPr>
      <w:tblGrid>
        <w:gridCol w:w="864"/>
        <w:gridCol w:w="1020"/>
        <w:gridCol w:w="1945"/>
        <w:gridCol w:w="4875"/>
      </w:tblGrid>
      <w:tr w14:paraId="1AFFF847">
        <w:tblPrEx>
          <w:tblCellMar>
            <w:top w:w="89" w:type="dxa"/>
            <w:left w:w="106" w:type="dxa"/>
            <w:bottom w:w="0" w:type="dxa"/>
            <w:right w:w="0" w:type="dxa"/>
          </w:tblCellMar>
        </w:tblPrEx>
        <w:trPr>
          <w:trHeight w:val="1599" w:hRule="atLeast"/>
        </w:trPr>
        <w:tc>
          <w:tcPr>
            <w:tcW w:w="1884" w:type="dxa"/>
            <w:gridSpan w:val="2"/>
            <w:vMerge w:val="restart"/>
            <w:tcBorders>
              <w:top w:val="single" w:color="000000" w:sz="4" w:space="0"/>
              <w:left w:val="single" w:color="000000" w:sz="4" w:space="0"/>
              <w:right w:val="single" w:color="000000" w:sz="4" w:space="0"/>
            </w:tcBorders>
            <w:vAlign w:val="center"/>
          </w:tcPr>
          <w:p w14:paraId="395E1D1F">
            <w:pPr>
              <w:spacing w:line="259" w:lineRule="auto"/>
              <w:ind w:left="2"/>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w:t>
            </w:r>
          </w:p>
        </w:tc>
        <w:tc>
          <w:tcPr>
            <w:tcW w:w="1945" w:type="dxa"/>
            <w:tcBorders>
              <w:top w:val="single" w:color="000000" w:sz="4" w:space="0"/>
              <w:left w:val="single" w:color="000000" w:sz="4" w:space="0"/>
              <w:bottom w:val="single" w:color="000000" w:sz="4" w:space="0"/>
              <w:right w:val="single" w:color="000000" w:sz="4" w:space="0"/>
            </w:tcBorders>
            <w:vAlign w:val="center"/>
          </w:tcPr>
          <w:p w14:paraId="22D0BB27">
            <w:pPr>
              <w:spacing w:after="63" w:line="259" w:lineRule="auto"/>
              <w:ind w:left="1"/>
              <w:rPr>
                <w:rFonts w:ascii="宋体" w:hAnsi="宋体" w:eastAsia="宋体"/>
                <w:color w:val="auto"/>
                <w:highlight w:val="none"/>
              </w:rPr>
            </w:pPr>
            <w:r>
              <w:rPr>
                <w:rFonts w:ascii="宋体" w:hAnsi="宋体" w:eastAsia="宋体"/>
                <w:color w:val="auto"/>
                <w:highlight w:val="none"/>
              </w:rPr>
              <w:t xml:space="preserve">分值构成 </w:t>
            </w:r>
          </w:p>
          <w:p w14:paraId="6597F80B">
            <w:pPr>
              <w:spacing w:line="259" w:lineRule="auto"/>
              <w:ind w:left="1"/>
              <w:rPr>
                <w:rFonts w:ascii="宋体" w:hAnsi="宋体" w:eastAsia="宋体"/>
                <w:color w:val="auto"/>
                <w:highlight w:val="none"/>
              </w:rPr>
            </w:pPr>
            <w:r>
              <w:rPr>
                <w:rFonts w:ascii="宋体" w:hAnsi="宋体" w:eastAsia="宋体"/>
                <w:color w:val="auto"/>
                <w:highlight w:val="none"/>
              </w:rPr>
              <w:t xml:space="preserve">(总分100分) </w:t>
            </w:r>
          </w:p>
        </w:tc>
        <w:tc>
          <w:tcPr>
            <w:tcW w:w="4875" w:type="dxa"/>
            <w:tcBorders>
              <w:top w:val="single" w:color="000000" w:sz="4" w:space="0"/>
              <w:left w:val="single" w:color="000000" w:sz="4" w:space="0"/>
              <w:bottom w:val="single" w:color="000000" w:sz="4" w:space="0"/>
              <w:right w:val="single" w:color="000000" w:sz="4" w:space="0"/>
            </w:tcBorders>
          </w:tcPr>
          <w:p w14:paraId="65CCDBAA">
            <w:pPr>
              <w:widowControl/>
              <w:numPr>
                <w:ilvl w:val="0"/>
                <w:numId w:val="3"/>
              </w:numPr>
              <w:spacing w:after="86" w:line="259" w:lineRule="auto"/>
              <w:ind w:hanging="276"/>
              <w:jc w:val="left"/>
              <w:rPr>
                <w:rFonts w:ascii="宋体" w:hAnsi="宋体" w:eastAsia="宋体"/>
                <w:color w:val="auto"/>
                <w:highlight w:val="none"/>
              </w:rPr>
            </w:pPr>
            <w:r>
              <w:rPr>
                <w:rFonts w:hint="eastAsia" w:ascii="宋体" w:hAnsi="宋体" w:eastAsia="宋体"/>
                <w:color w:val="auto"/>
                <w:highlight w:val="none"/>
              </w:rPr>
              <w:t>投标报价</w:t>
            </w:r>
            <w:r>
              <w:rPr>
                <w:rFonts w:ascii="宋体" w:hAnsi="宋体" w:eastAsia="宋体"/>
                <w:color w:val="auto"/>
                <w:highlight w:val="none"/>
              </w:rPr>
              <w:t>：</w:t>
            </w:r>
            <w:r>
              <w:rPr>
                <w:rFonts w:hint="eastAsia" w:ascii="宋体" w:hAnsi="宋体" w:eastAsia="宋体"/>
                <w:color w:val="auto"/>
                <w:highlight w:val="none"/>
                <w:lang w:val="en-US" w:eastAsia="zh-CN"/>
              </w:rPr>
              <w:t>6</w:t>
            </w:r>
            <w:r>
              <w:rPr>
                <w:rFonts w:ascii="宋体" w:hAnsi="宋体" w:eastAsia="宋体"/>
                <w:color w:val="auto"/>
                <w:highlight w:val="none"/>
              </w:rPr>
              <w:t xml:space="preserve">0分 </w:t>
            </w:r>
          </w:p>
          <w:p w14:paraId="70B5A19B">
            <w:pPr>
              <w:widowControl/>
              <w:numPr>
                <w:ilvl w:val="0"/>
                <w:numId w:val="3"/>
              </w:numPr>
              <w:spacing w:after="86" w:line="259" w:lineRule="auto"/>
              <w:ind w:hanging="276"/>
              <w:jc w:val="left"/>
              <w:rPr>
                <w:rFonts w:ascii="宋体" w:hAnsi="宋体" w:eastAsia="宋体"/>
                <w:color w:val="auto"/>
                <w:highlight w:val="none"/>
              </w:rPr>
            </w:pPr>
            <w:r>
              <w:rPr>
                <w:rFonts w:hint="eastAsia" w:ascii="宋体" w:hAnsi="宋体" w:eastAsia="宋体"/>
                <w:color w:val="auto"/>
                <w:highlight w:val="none"/>
              </w:rPr>
              <w:t>业绩:</w:t>
            </w:r>
            <w:r>
              <w:rPr>
                <w:rFonts w:hint="eastAsia" w:ascii="宋体" w:hAnsi="宋体" w:eastAsia="宋体"/>
                <w:color w:val="auto"/>
                <w:highlight w:val="none"/>
                <w:lang w:val="en-US" w:eastAsia="zh-CN"/>
              </w:rPr>
              <w:t>10</w:t>
            </w:r>
            <w:r>
              <w:rPr>
                <w:rFonts w:hint="eastAsia" w:ascii="宋体" w:hAnsi="宋体" w:eastAsia="宋体"/>
                <w:color w:val="auto"/>
                <w:highlight w:val="none"/>
              </w:rPr>
              <w:t>分</w:t>
            </w:r>
          </w:p>
          <w:p w14:paraId="475857E6">
            <w:pPr>
              <w:widowControl/>
              <w:numPr>
                <w:ilvl w:val="0"/>
                <w:numId w:val="3"/>
              </w:numPr>
              <w:spacing w:after="86" w:line="259" w:lineRule="auto"/>
              <w:ind w:hanging="276"/>
              <w:jc w:val="left"/>
              <w:rPr>
                <w:rFonts w:ascii="宋体" w:hAnsi="宋体" w:eastAsia="宋体"/>
                <w:color w:val="auto"/>
                <w:highlight w:val="none"/>
              </w:rPr>
            </w:pPr>
            <w:r>
              <w:rPr>
                <w:rFonts w:hint="eastAsia" w:ascii="宋体" w:hAnsi="宋体" w:eastAsia="宋体"/>
                <w:color w:val="auto"/>
                <w:highlight w:val="none"/>
                <w:lang w:val="en-US" w:eastAsia="zh-CN"/>
              </w:rPr>
              <w:t>技术分</w:t>
            </w:r>
            <w:r>
              <w:rPr>
                <w:rFonts w:ascii="宋体" w:hAnsi="宋体" w:eastAsia="宋体"/>
                <w:color w:val="auto"/>
                <w:highlight w:val="none"/>
              </w:rPr>
              <w:t>：</w:t>
            </w:r>
            <w:r>
              <w:rPr>
                <w:rFonts w:hint="eastAsia" w:ascii="宋体" w:hAnsi="宋体" w:eastAsia="宋体"/>
                <w:color w:val="auto"/>
                <w:highlight w:val="none"/>
              </w:rPr>
              <w:t>3</w:t>
            </w:r>
            <w:r>
              <w:rPr>
                <w:rFonts w:hint="eastAsia" w:ascii="宋体" w:hAnsi="宋体" w:eastAsia="宋体"/>
                <w:color w:val="auto"/>
                <w:highlight w:val="none"/>
                <w:lang w:val="en-US" w:eastAsia="zh-CN"/>
              </w:rPr>
              <w:t>0</w:t>
            </w:r>
            <w:r>
              <w:rPr>
                <w:rFonts w:hint="eastAsia" w:ascii="宋体" w:hAnsi="宋体" w:eastAsia="宋体"/>
                <w:color w:val="auto"/>
                <w:highlight w:val="none"/>
              </w:rPr>
              <w:t>分</w:t>
            </w:r>
          </w:p>
          <w:p w14:paraId="6D45AD62">
            <w:pPr>
              <w:widowControl/>
              <w:spacing w:after="86" w:line="259" w:lineRule="auto"/>
              <w:jc w:val="left"/>
              <w:rPr>
                <w:rFonts w:ascii="宋体" w:hAnsi="宋体" w:eastAsia="宋体"/>
                <w:color w:val="auto"/>
                <w:highlight w:val="none"/>
              </w:rPr>
            </w:pPr>
          </w:p>
        </w:tc>
      </w:tr>
      <w:tr w14:paraId="0612A8DC">
        <w:tblPrEx>
          <w:tblCellMar>
            <w:top w:w="89" w:type="dxa"/>
            <w:left w:w="106" w:type="dxa"/>
            <w:bottom w:w="0" w:type="dxa"/>
            <w:right w:w="0" w:type="dxa"/>
          </w:tblCellMar>
        </w:tblPrEx>
        <w:trPr>
          <w:trHeight w:val="1757" w:hRule="atLeast"/>
        </w:trPr>
        <w:tc>
          <w:tcPr>
            <w:tcW w:w="1884" w:type="dxa"/>
            <w:gridSpan w:val="2"/>
            <w:vMerge w:val="continue"/>
            <w:tcBorders>
              <w:left w:val="single" w:color="000000" w:sz="4" w:space="0"/>
              <w:bottom w:val="single" w:color="000000" w:sz="4" w:space="0"/>
              <w:right w:val="single" w:color="000000" w:sz="4" w:space="0"/>
            </w:tcBorders>
            <w:vAlign w:val="center"/>
          </w:tcPr>
          <w:p w14:paraId="363D04EF">
            <w:pPr>
              <w:spacing w:line="259" w:lineRule="auto"/>
              <w:ind w:left="2"/>
              <w:rPr>
                <w:rFonts w:hint="eastAsia" w:ascii="宋体" w:hAnsi="宋体" w:eastAsia="宋体"/>
                <w:color w:val="auto"/>
                <w:highlight w:val="none"/>
                <w:lang w:eastAsia="zh-CN"/>
              </w:rPr>
            </w:pPr>
          </w:p>
        </w:tc>
        <w:tc>
          <w:tcPr>
            <w:tcW w:w="1945" w:type="dxa"/>
            <w:tcBorders>
              <w:top w:val="single" w:color="000000" w:sz="4" w:space="0"/>
              <w:left w:val="single" w:color="000000" w:sz="4" w:space="0"/>
              <w:bottom w:val="single" w:color="000000" w:sz="4" w:space="0"/>
              <w:right w:val="single" w:color="000000" w:sz="4" w:space="0"/>
            </w:tcBorders>
            <w:vAlign w:val="center"/>
          </w:tcPr>
          <w:p w14:paraId="635AF326">
            <w:pPr>
              <w:spacing w:line="259" w:lineRule="auto"/>
              <w:ind w:left="1"/>
              <w:rPr>
                <w:rFonts w:ascii="宋体" w:hAnsi="宋体" w:eastAsia="宋体"/>
                <w:color w:val="auto"/>
                <w:highlight w:val="none"/>
              </w:rPr>
            </w:pPr>
            <w:r>
              <w:rPr>
                <w:rFonts w:ascii="宋体" w:hAnsi="宋体" w:eastAsia="宋体"/>
                <w:color w:val="auto"/>
                <w:highlight w:val="none"/>
              </w:rPr>
              <w:t xml:space="preserve">评标基准价计算方法 </w:t>
            </w:r>
          </w:p>
        </w:tc>
        <w:tc>
          <w:tcPr>
            <w:tcW w:w="4875" w:type="dxa"/>
            <w:tcBorders>
              <w:top w:val="single" w:color="000000" w:sz="4" w:space="0"/>
              <w:left w:val="single" w:color="000000" w:sz="4" w:space="0"/>
              <w:bottom w:val="single" w:color="000000" w:sz="4" w:space="0"/>
              <w:right w:val="single" w:color="000000" w:sz="4" w:space="0"/>
            </w:tcBorders>
          </w:tcPr>
          <w:p w14:paraId="7E77DA48">
            <w:pPr>
              <w:autoSpaceDE w:val="0"/>
              <w:autoSpaceDN w:val="0"/>
              <w:adjustRightInd w:val="0"/>
              <w:spacing w:line="400" w:lineRule="exact"/>
              <w:ind w:firstLine="480"/>
              <w:rPr>
                <w:rFonts w:ascii="宋体" w:hAnsi="宋体" w:eastAsia="宋体"/>
                <w:b/>
                <w:color w:val="auto"/>
                <w:highlight w:val="none"/>
              </w:rPr>
            </w:pPr>
            <w:r>
              <w:rPr>
                <w:rFonts w:ascii="宋体" w:hAnsi="宋体" w:eastAsia="宋体"/>
                <w:b/>
                <w:color w:val="auto"/>
                <w:highlight w:val="none"/>
              </w:rPr>
              <w:t>以有效投标文件的投标报价的</w:t>
            </w:r>
            <w:r>
              <w:rPr>
                <w:rFonts w:hint="eastAsia" w:ascii="宋体" w:hAnsi="宋体" w:eastAsia="宋体"/>
                <w:b/>
                <w:color w:val="auto"/>
                <w:highlight w:val="none"/>
                <w:lang w:val="en-US" w:eastAsia="zh-CN"/>
              </w:rPr>
              <w:t>平均价</w:t>
            </w:r>
            <w:r>
              <w:rPr>
                <w:rFonts w:ascii="宋体" w:hAnsi="宋体" w:eastAsia="宋体"/>
                <w:b/>
                <w:color w:val="auto"/>
                <w:highlight w:val="none"/>
              </w:rPr>
              <w:t xml:space="preserve">为评标基准价。 </w:t>
            </w:r>
          </w:p>
          <w:p w14:paraId="1638E026">
            <w:pPr>
              <w:autoSpaceDE w:val="0"/>
              <w:autoSpaceDN w:val="0"/>
              <w:adjustRightInd w:val="0"/>
              <w:spacing w:line="400" w:lineRule="exact"/>
              <w:ind w:firstLine="480"/>
              <w:rPr>
                <w:rFonts w:ascii="宋体" w:hAnsi="宋体" w:eastAsia="宋体"/>
                <w:color w:val="auto"/>
                <w:highlight w:val="none"/>
              </w:rPr>
            </w:pPr>
            <w:r>
              <w:rPr>
                <w:rFonts w:ascii="宋体" w:hAnsi="宋体" w:eastAsia="宋体"/>
                <w:color w:val="auto"/>
                <w:highlight w:val="none"/>
              </w:rPr>
              <w:t xml:space="preserve">说明： </w:t>
            </w:r>
          </w:p>
          <w:p w14:paraId="3CF0D0E7">
            <w:pPr>
              <w:autoSpaceDE w:val="0"/>
              <w:autoSpaceDN w:val="0"/>
              <w:adjustRightInd w:val="0"/>
              <w:spacing w:line="400" w:lineRule="exact"/>
              <w:ind w:firstLine="480"/>
              <w:rPr>
                <w:rFonts w:ascii="宋体" w:hAnsi="宋体" w:eastAsia="宋体"/>
                <w:color w:val="auto"/>
                <w:highlight w:val="none"/>
              </w:rPr>
            </w:pPr>
            <w:r>
              <w:rPr>
                <w:rFonts w:ascii="宋体" w:hAnsi="宋体" w:eastAsia="宋体"/>
                <w:color w:val="auto"/>
                <w:highlight w:val="none"/>
              </w:rPr>
              <w:t>1.投标报价指经澄清、补正和修正算术计算错误的报价；</w:t>
            </w:r>
          </w:p>
          <w:p w14:paraId="3FB45790">
            <w:pPr>
              <w:autoSpaceDE w:val="0"/>
              <w:autoSpaceDN w:val="0"/>
              <w:adjustRightInd w:val="0"/>
              <w:spacing w:line="400" w:lineRule="exact"/>
              <w:ind w:firstLine="480"/>
              <w:rPr>
                <w:rFonts w:ascii="宋体" w:hAnsi="宋体" w:eastAsia="宋体"/>
                <w:color w:val="auto"/>
                <w:highlight w:val="none"/>
              </w:rPr>
            </w:pPr>
            <w:r>
              <w:rPr>
                <w:rFonts w:ascii="宋体" w:hAnsi="宋体" w:eastAsia="宋体"/>
                <w:color w:val="auto"/>
                <w:highlight w:val="none"/>
              </w:rPr>
              <w:t xml:space="preserve"> 2.有效投标文件是指未被评标委员会判定为无效标的投标文件。</w:t>
            </w:r>
          </w:p>
          <w:p w14:paraId="1033E6FE">
            <w:pPr>
              <w:pStyle w:val="2"/>
              <w:ind w:left="0" w:leftChars="0" w:firstLine="0" w:firstLineChars="0"/>
              <w:rPr>
                <w:color w:val="auto"/>
                <w:highlight w:val="none"/>
              </w:rPr>
            </w:pPr>
            <w:r>
              <w:rPr>
                <w:rFonts w:hint="eastAsia" w:ascii="宋体" w:hAnsi="宋体" w:eastAsia="宋体" w:cstheme="minorBidi"/>
                <w:color w:val="auto"/>
                <w:kern w:val="2"/>
                <w:sz w:val="21"/>
                <w:szCs w:val="22"/>
                <w:highlight w:val="none"/>
                <w:lang w:val="en-US" w:eastAsia="zh-CN" w:bidi="ar-SA"/>
              </w:rPr>
              <w:t>偏差率=100%×（投标人投标价-评标基准价）/评标基准价</w:t>
            </w:r>
          </w:p>
        </w:tc>
      </w:tr>
      <w:tr w14:paraId="6D3513FF">
        <w:tblPrEx>
          <w:tblCellMar>
            <w:top w:w="89" w:type="dxa"/>
            <w:left w:w="106" w:type="dxa"/>
            <w:bottom w:w="0" w:type="dxa"/>
            <w:right w:w="0" w:type="dxa"/>
          </w:tblCellMar>
        </w:tblPrEx>
        <w:trPr>
          <w:trHeight w:val="1247"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55ECF59F">
            <w:pPr>
              <w:spacing w:after="64" w:line="259" w:lineRule="auto"/>
              <w:ind w:left="2"/>
              <w:rPr>
                <w:rFonts w:hint="default" w:ascii="宋体" w:hAnsi="宋体" w:eastAsia="宋体"/>
                <w:color w:val="auto"/>
                <w:highlight w:val="none"/>
                <w:lang w:val="en-US"/>
              </w:rPr>
            </w:pPr>
            <w:r>
              <w:rPr>
                <w:rFonts w:hint="eastAsia" w:ascii="宋体" w:hAnsi="宋体" w:eastAsia="宋体"/>
                <w:color w:val="auto"/>
                <w:highlight w:val="none"/>
                <w:lang w:val="en-US" w:eastAsia="zh-CN"/>
              </w:rPr>
              <w:t>1.1</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14:paraId="3BF4DE9E">
            <w:pPr>
              <w:spacing w:line="259" w:lineRule="auto"/>
              <w:ind w:left="1"/>
              <w:jc w:val="center"/>
              <w:rPr>
                <w:rFonts w:ascii="宋体" w:hAnsi="宋体" w:eastAsia="宋体"/>
                <w:color w:val="auto"/>
                <w:highlight w:val="none"/>
              </w:rPr>
            </w:pPr>
            <w:r>
              <w:rPr>
                <w:rFonts w:ascii="宋体" w:hAnsi="宋体" w:eastAsia="宋体"/>
                <w:color w:val="auto"/>
                <w:highlight w:val="none"/>
              </w:rPr>
              <w:t>投标报价（</w:t>
            </w:r>
            <w:r>
              <w:rPr>
                <w:rFonts w:hint="eastAsia" w:ascii="宋体" w:hAnsi="宋体" w:eastAsia="宋体"/>
                <w:color w:val="auto"/>
                <w:highlight w:val="none"/>
                <w:lang w:val="en-US" w:eastAsia="zh-CN"/>
              </w:rPr>
              <w:t>6</w:t>
            </w:r>
            <w:r>
              <w:rPr>
                <w:rFonts w:hint="eastAsia" w:ascii="宋体" w:hAnsi="宋体" w:eastAsia="宋体"/>
                <w:color w:val="auto"/>
                <w:highlight w:val="none"/>
              </w:rPr>
              <w:t>0</w:t>
            </w:r>
            <w:r>
              <w:rPr>
                <w:rFonts w:ascii="宋体" w:hAnsi="宋体" w:eastAsia="宋体"/>
                <w:color w:val="auto"/>
                <w:highlight w:val="none"/>
              </w:rPr>
              <w:t>分）</w:t>
            </w:r>
          </w:p>
        </w:tc>
        <w:tc>
          <w:tcPr>
            <w:tcW w:w="4875" w:type="dxa"/>
            <w:tcBorders>
              <w:top w:val="single" w:color="000000" w:sz="4" w:space="0"/>
              <w:left w:val="single" w:color="000000" w:sz="4" w:space="0"/>
              <w:bottom w:val="single" w:color="000000" w:sz="4" w:space="0"/>
              <w:right w:val="single" w:color="000000" w:sz="4" w:space="0"/>
            </w:tcBorders>
          </w:tcPr>
          <w:p w14:paraId="09FD8A0B">
            <w:pPr>
              <w:autoSpaceDE w:val="0"/>
              <w:autoSpaceDN w:val="0"/>
              <w:adjustRightInd w:val="0"/>
              <w:spacing w:line="400" w:lineRule="exact"/>
              <w:ind w:firstLine="480"/>
              <w:rPr>
                <w:rFonts w:hint="eastAsia" w:ascii="宋体" w:hAnsi="宋体" w:eastAsia="宋体"/>
                <w:color w:val="auto"/>
                <w:highlight w:val="none"/>
              </w:rPr>
            </w:pPr>
            <w:r>
              <w:rPr>
                <w:rFonts w:ascii="宋体" w:hAnsi="宋体" w:eastAsia="宋体"/>
                <w:color w:val="auto"/>
                <w:highlight w:val="none"/>
              </w:rPr>
              <w:t>当有效投标人投标报价等于评标基准价时， 得满分</w:t>
            </w:r>
            <w:r>
              <w:rPr>
                <w:rFonts w:hint="eastAsia" w:ascii="宋体" w:hAnsi="宋体" w:eastAsia="宋体"/>
                <w:color w:val="auto"/>
                <w:highlight w:val="none"/>
                <w:lang w:val="en-US" w:eastAsia="zh-CN"/>
              </w:rPr>
              <w:t>60</w:t>
            </w:r>
            <w:r>
              <w:rPr>
                <w:rFonts w:ascii="宋体" w:hAnsi="宋体" w:eastAsia="宋体"/>
                <w:color w:val="auto"/>
                <w:highlight w:val="none"/>
              </w:rPr>
              <w:t>分，有效投标人投标报价与评标基准价相比， 每高出 1%扣</w:t>
            </w:r>
            <w:r>
              <w:rPr>
                <w:rFonts w:hint="eastAsia" w:ascii="宋体" w:hAnsi="宋体" w:eastAsia="宋体"/>
                <w:color w:val="auto"/>
                <w:highlight w:val="none"/>
              </w:rPr>
              <w:t>0.9</w:t>
            </w:r>
            <w:r>
              <w:rPr>
                <w:rFonts w:ascii="宋体" w:hAnsi="宋体" w:eastAsia="宋体"/>
                <w:color w:val="auto"/>
                <w:highlight w:val="none"/>
              </w:rPr>
              <w:t xml:space="preserve"> 分， 每低出 1%扣 0.6 分，不足 1%的，按照插入法计算得分。 </w:t>
            </w:r>
          </w:p>
          <w:p w14:paraId="318D8595">
            <w:pPr>
              <w:autoSpaceDE w:val="0"/>
              <w:autoSpaceDN w:val="0"/>
              <w:adjustRightInd w:val="0"/>
              <w:spacing w:line="400" w:lineRule="exact"/>
              <w:ind w:firstLine="480"/>
              <w:rPr>
                <w:rFonts w:ascii="宋体" w:hAnsi="宋体" w:eastAsia="宋体"/>
                <w:color w:val="auto"/>
                <w:highlight w:val="none"/>
              </w:rPr>
            </w:pPr>
            <w:r>
              <w:rPr>
                <w:rFonts w:ascii="宋体" w:hAnsi="宋体" w:eastAsia="宋体"/>
                <w:color w:val="auto"/>
                <w:highlight w:val="none"/>
              </w:rPr>
              <w:t>说明： 1.投标报价指经澄清、补正和修正算术计算错误的报价； 2.</w:t>
            </w:r>
            <w:r>
              <w:rPr>
                <w:rFonts w:hint="eastAsia" w:ascii="宋体" w:hAnsi="宋体" w:eastAsia="宋体"/>
                <w:color w:val="auto"/>
                <w:highlight w:val="none"/>
              </w:rPr>
              <w:t>与会成员</w:t>
            </w:r>
            <w:r>
              <w:rPr>
                <w:rFonts w:ascii="宋体" w:hAnsi="宋体" w:eastAsia="宋体"/>
                <w:color w:val="auto"/>
                <w:highlight w:val="none"/>
              </w:rPr>
              <w:t>在评标报告上签字后，上述方法评标基准价不因招投标当事人质疑、投诉、复议以及其它任何情形而改变,但评标过程中的计算错误可作调整； 3.有效投标文件是指未被</w:t>
            </w:r>
            <w:r>
              <w:rPr>
                <w:rFonts w:hint="eastAsia" w:ascii="宋体" w:hAnsi="宋体" w:eastAsia="宋体"/>
                <w:color w:val="auto"/>
                <w:highlight w:val="none"/>
              </w:rPr>
              <w:t>与会成员</w:t>
            </w:r>
            <w:r>
              <w:rPr>
                <w:rFonts w:ascii="宋体" w:hAnsi="宋体" w:eastAsia="宋体"/>
                <w:color w:val="auto"/>
                <w:highlight w:val="none"/>
              </w:rPr>
              <w:t>判定为无效标的投标文件。</w:t>
            </w:r>
          </w:p>
        </w:tc>
      </w:tr>
      <w:tr w14:paraId="754EEA86">
        <w:tblPrEx>
          <w:tblCellMar>
            <w:top w:w="89" w:type="dxa"/>
            <w:left w:w="106" w:type="dxa"/>
            <w:bottom w:w="0" w:type="dxa"/>
            <w:right w:w="0" w:type="dxa"/>
          </w:tblCellMar>
        </w:tblPrEx>
        <w:trPr>
          <w:trHeight w:val="894"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74AA064D">
            <w:pPr>
              <w:spacing w:after="64" w:line="259" w:lineRule="auto"/>
              <w:ind w:left="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1.2</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14:paraId="46E3016A">
            <w:pPr>
              <w:spacing w:line="259" w:lineRule="auto"/>
              <w:jc w:val="center"/>
              <w:rPr>
                <w:rFonts w:ascii="宋体" w:hAnsi="宋体" w:eastAsia="宋体"/>
                <w:color w:val="auto"/>
                <w:highlight w:val="none"/>
              </w:rPr>
            </w:pPr>
            <w:r>
              <w:rPr>
                <w:rFonts w:hint="eastAsia" w:ascii="宋体" w:hAnsi="宋体" w:eastAsia="宋体"/>
                <w:color w:val="auto"/>
                <w:highlight w:val="none"/>
              </w:rPr>
              <w:t>业绩（</w:t>
            </w:r>
            <w:r>
              <w:rPr>
                <w:rFonts w:hint="eastAsia" w:ascii="宋体" w:hAnsi="宋体" w:eastAsia="宋体"/>
                <w:color w:val="auto"/>
                <w:highlight w:val="none"/>
                <w:lang w:val="en-US" w:eastAsia="zh-CN"/>
              </w:rPr>
              <w:t>10</w:t>
            </w:r>
            <w:r>
              <w:rPr>
                <w:rFonts w:hint="eastAsia" w:ascii="宋体" w:hAnsi="宋体" w:eastAsia="宋体"/>
                <w:color w:val="auto"/>
                <w:highlight w:val="none"/>
              </w:rPr>
              <w:t>分）</w:t>
            </w:r>
          </w:p>
        </w:tc>
        <w:tc>
          <w:tcPr>
            <w:tcW w:w="4875" w:type="dxa"/>
            <w:tcBorders>
              <w:top w:val="single" w:color="000000" w:sz="4" w:space="0"/>
              <w:left w:val="single" w:color="000000" w:sz="4" w:space="0"/>
              <w:bottom w:val="single" w:color="000000" w:sz="4" w:space="0"/>
              <w:right w:val="single" w:color="000000" w:sz="4" w:space="0"/>
            </w:tcBorders>
          </w:tcPr>
          <w:p w14:paraId="21A98EB9">
            <w:pPr>
              <w:spacing w:line="259" w:lineRule="auto"/>
              <w:rPr>
                <w:rFonts w:ascii="宋体" w:hAnsi="宋体" w:eastAsia="宋体"/>
                <w:color w:val="auto"/>
                <w:highlight w:val="none"/>
              </w:rPr>
            </w:pPr>
            <w:r>
              <w:rPr>
                <w:rFonts w:ascii="宋体" w:hAnsi="宋体" w:eastAsia="宋体"/>
                <w:color w:val="auto"/>
                <w:highlight w:val="none"/>
              </w:rPr>
              <w:t>投标人近</w:t>
            </w:r>
            <w:r>
              <w:rPr>
                <w:rFonts w:hint="eastAsia" w:ascii="宋体" w:hAnsi="宋体" w:eastAsia="宋体"/>
                <w:color w:val="auto"/>
                <w:highlight w:val="none"/>
                <w:lang w:val="en-US" w:eastAsia="zh-CN"/>
              </w:rPr>
              <w:t>5</w:t>
            </w:r>
            <w:r>
              <w:rPr>
                <w:rFonts w:ascii="宋体" w:hAnsi="宋体" w:eastAsia="宋体"/>
                <w:color w:val="auto"/>
                <w:highlight w:val="none"/>
              </w:rPr>
              <w:t>年</w:t>
            </w:r>
            <w:r>
              <w:rPr>
                <w:rFonts w:hint="eastAsia" w:ascii="宋体" w:hAnsi="宋体" w:eastAsia="宋体"/>
                <w:color w:val="auto"/>
                <w:highlight w:val="none"/>
                <w:lang w:val="en-US" w:eastAsia="zh-CN"/>
              </w:rPr>
              <w:t>来，</w:t>
            </w:r>
            <w:r>
              <w:rPr>
                <w:rFonts w:ascii="宋体" w:hAnsi="宋体" w:eastAsia="宋体"/>
                <w:color w:val="auto"/>
                <w:highlight w:val="none"/>
              </w:rPr>
              <w:t>完成</w:t>
            </w:r>
            <w:r>
              <w:rPr>
                <w:rFonts w:hint="eastAsia" w:ascii="宋体" w:hAnsi="宋体" w:eastAsia="宋体"/>
                <w:color w:val="auto"/>
                <w:highlight w:val="none"/>
                <w:lang w:val="en-US" w:eastAsia="zh-CN"/>
              </w:rPr>
              <w:t>一个沿海或长江码头类项目设计得1分，最高得5分；完成一个建筑类项目设计</w:t>
            </w:r>
            <w:r>
              <w:rPr>
                <w:rFonts w:ascii="宋体" w:hAnsi="宋体" w:eastAsia="宋体"/>
                <w:color w:val="auto"/>
                <w:highlight w:val="none"/>
              </w:rPr>
              <w:t>得</w:t>
            </w:r>
            <w:r>
              <w:rPr>
                <w:rFonts w:hint="eastAsia" w:ascii="宋体" w:hAnsi="宋体" w:eastAsia="宋体"/>
                <w:color w:val="auto"/>
                <w:highlight w:val="none"/>
                <w:lang w:val="en-US" w:eastAsia="zh-CN"/>
              </w:rPr>
              <w:t>1分，同样最高得5分</w:t>
            </w:r>
            <w:r>
              <w:rPr>
                <w:rFonts w:ascii="宋体" w:hAnsi="宋体" w:eastAsia="宋体"/>
                <w:color w:val="auto"/>
                <w:highlight w:val="none"/>
              </w:rPr>
              <w:t>。</w:t>
            </w:r>
            <w:r>
              <w:rPr>
                <w:rFonts w:hint="eastAsia" w:ascii="宋体" w:hAnsi="宋体" w:eastAsia="宋体"/>
                <w:color w:val="auto"/>
                <w:highlight w:val="none"/>
              </w:rPr>
              <w:t>（以中标通知书、合同协议书，的扫描件。以上材料缺一不可。）</w:t>
            </w:r>
          </w:p>
        </w:tc>
      </w:tr>
      <w:tr w14:paraId="6427830A">
        <w:tblPrEx>
          <w:tblCellMar>
            <w:top w:w="89" w:type="dxa"/>
            <w:left w:w="106" w:type="dxa"/>
            <w:bottom w:w="0" w:type="dxa"/>
            <w:right w:w="0" w:type="dxa"/>
          </w:tblCellMar>
        </w:tblPrEx>
        <w:trPr>
          <w:trHeight w:val="1140"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460E3B6E">
            <w:pPr>
              <w:spacing w:after="64" w:line="259" w:lineRule="auto"/>
              <w:ind w:left="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1.3</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14:paraId="286518B4">
            <w:pPr>
              <w:spacing w:line="259" w:lineRule="auto"/>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总体设计思路（15分）</w:t>
            </w:r>
          </w:p>
          <w:p w14:paraId="5A3A0583">
            <w:pPr>
              <w:spacing w:line="259" w:lineRule="auto"/>
              <w:jc w:val="center"/>
              <w:rPr>
                <w:rFonts w:ascii="宋体" w:hAnsi="宋体" w:eastAsia="宋体"/>
                <w:color w:val="auto"/>
                <w:highlight w:val="none"/>
              </w:rPr>
            </w:pPr>
          </w:p>
        </w:tc>
        <w:tc>
          <w:tcPr>
            <w:tcW w:w="4875" w:type="dxa"/>
            <w:tcBorders>
              <w:top w:val="single" w:color="000000" w:sz="4" w:space="0"/>
              <w:left w:val="single" w:color="000000" w:sz="4" w:space="0"/>
              <w:bottom w:val="single" w:color="000000" w:sz="4" w:space="0"/>
              <w:right w:val="single" w:color="000000" w:sz="4" w:space="0"/>
            </w:tcBorders>
          </w:tcPr>
          <w:p w14:paraId="2C55F9E0">
            <w:pPr>
              <w:spacing w:line="259"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投标人的总体设计思路综合评价：4 分&lt;优秀≤6 分，2分&lt;良≤4分；1分&lt;一般≤2 分；0 分&lt;差≤1 分。</w:t>
            </w:r>
          </w:p>
          <w:p w14:paraId="666EF814">
            <w:pPr>
              <w:spacing w:line="259"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投标人对本项目设计特点的分析：2 分&lt;优秀≤3分， 1分&lt;良≤2 分；1分&lt;一般≤1 分；0 分&lt;差≤1分。 </w:t>
            </w:r>
          </w:p>
          <w:p w14:paraId="579D7D6B">
            <w:pPr>
              <w:spacing w:line="259"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投标人对关键技术问题的认知及其对策措施：2 分&lt; 优秀≤3分，1分&lt;良≤2分；1 分&lt;一般≤1 分；0 分&lt;差 ≤1 分。 </w:t>
            </w:r>
          </w:p>
          <w:p w14:paraId="5C4E4809">
            <w:pPr>
              <w:spacing w:line="259"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指出本项目设计的重点与难点内容，针对重点和难点 内容提出相应的解决方案：2分&lt;优秀≤3 分，1分&lt;良≤2分；1 分&lt;一般≤1 分；0 分&lt;差≤1 分。</w:t>
            </w:r>
          </w:p>
          <w:p w14:paraId="2A0BA680">
            <w:pPr>
              <w:spacing w:line="259" w:lineRule="auto"/>
              <w:rPr>
                <w:rFonts w:hint="eastAsia" w:ascii="宋体" w:hAnsi="宋体" w:eastAsia="宋体"/>
                <w:color w:val="auto"/>
                <w:highlight w:val="none"/>
                <w:lang w:val="en-US" w:eastAsia="zh-CN"/>
              </w:rPr>
            </w:pPr>
          </w:p>
        </w:tc>
      </w:tr>
      <w:tr w14:paraId="0FE97136">
        <w:tblPrEx>
          <w:tblCellMar>
            <w:top w:w="89" w:type="dxa"/>
            <w:left w:w="106" w:type="dxa"/>
            <w:bottom w:w="0" w:type="dxa"/>
            <w:right w:w="0" w:type="dxa"/>
          </w:tblCellMar>
        </w:tblPrEx>
        <w:trPr>
          <w:trHeight w:val="1247"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15C38203">
            <w:pPr>
              <w:spacing w:after="64" w:line="259" w:lineRule="auto"/>
              <w:ind w:left="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1.3</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14:paraId="08C53B76">
            <w:pPr>
              <w:spacing w:line="259" w:lineRule="auto"/>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设计的质量保证措 </w:t>
            </w:r>
          </w:p>
          <w:p w14:paraId="324E135A">
            <w:pPr>
              <w:spacing w:line="259" w:lineRule="auto"/>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施、进度保证措施（5分）</w:t>
            </w:r>
          </w:p>
          <w:p w14:paraId="66110F8B">
            <w:pPr>
              <w:spacing w:line="259" w:lineRule="auto"/>
              <w:jc w:val="center"/>
              <w:rPr>
                <w:rFonts w:hint="eastAsia" w:ascii="宋体" w:hAnsi="宋体" w:eastAsia="宋体"/>
                <w:color w:val="auto"/>
                <w:highlight w:val="none"/>
                <w:lang w:val="en-US" w:eastAsia="zh-CN"/>
              </w:rPr>
            </w:pPr>
          </w:p>
        </w:tc>
        <w:tc>
          <w:tcPr>
            <w:tcW w:w="4875" w:type="dxa"/>
            <w:tcBorders>
              <w:top w:val="single" w:color="000000" w:sz="4" w:space="0"/>
              <w:left w:val="single" w:color="000000" w:sz="4" w:space="0"/>
              <w:bottom w:val="single" w:color="000000" w:sz="4" w:space="0"/>
              <w:right w:val="single" w:color="000000" w:sz="4" w:space="0"/>
            </w:tcBorders>
          </w:tcPr>
          <w:p w14:paraId="2EAA791E">
            <w:pPr>
              <w:spacing w:line="259" w:lineRule="auto"/>
              <w:rPr>
                <w:rFonts w:ascii="宋体" w:hAnsi="宋体" w:eastAsia="宋体"/>
                <w:color w:val="auto"/>
                <w:highlight w:val="none"/>
              </w:rPr>
            </w:pPr>
            <w:r>
              <w:rPr>
                <w:rFonts w:hint="eastAsia" w:ascii="宋体" w:hAnsi="宋体" w:eastAsia="宋体"/>
                <w:color w:val="auto"/>
                <w:highlight w:val="none"/>
                <w:lang w:val="en-US" w:eastAsia="zh-CN"/>
              </w:rPr>
              <w:t>设计质量保证措施和进度保证措施：4 分&lt;优秀≤5 分，3 分&lt;良≤4 分；2分&lt;一般≤3 分；0 分&lt;差≤2 分。</w:t>
            </w:r>
          </w:p>
          <w:p w14:paraId="3FA34C64">
            <w:pPr>
              <w:spacing w:line="259" w:lineRule="auto"/>
              <w:rPr>
                <w:rFonts w:ascii="宋体" w:hAnsi="宋体" w:eastAsia="宋体"/>
                <w:color w:val="auto"/>
                <w:highlight w:val="none"/>
              </w:rPr>
            </w:pPr>
          </w:p>
        </w:tc>
      </w:tr>
      <w:tr w14:paraId="54AE5853">
        <w:tblPrEx>
          <w:tblCellMar>
            <w:top w:w="89" w:type="dxa"/>
            <w:left w:w="106" w:type="dxa"/>
            <w:bottom w:w="0" w:type="dxa"/>
            <w:right w:w="0" w:type="dxa"/>
          </w:tblCellMar>
        </w:tblPrEx>
        <w:trPr>
          <w:trHeight w:val="1247"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67962D7A">
            <w:pPr>
              <w:spacing w:after="64" w:line="259" w:lineRule="auto"/>
              <w:ind w:left="2"/>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1.4</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14:paraId="24F11E83">
            <w:pPr>
              <w:spacing w:line="259" w:lineRule="auto"/>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设计的特点分析、关键技术问题的认知及其对策措施、指出本项目设计的重点与难点以及提出相应的解 </w:t>
            </w:r>
          </w:p>
          <w:p w14:paraId="7C7DB3DF">
            <w:pPr>
              <w:spacing w:line="259" w:lineRule="auto"/>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决方案（10分）</w:t>
            </w:r>
          </w:p>
          <w:p w14:paraId="5F059E20">
            <w:pPr>
              <w:spacing w:line="259" w:lineRule="auto"/>
              <w:jc w:val="center"/>
              <w:rPr>
                <w:rFonts w:hint="eastAsia" w:ascii="宋体" w:hAnsi="宋体" w:eastAsia="宋体"/>
                <w:color w:val="auto"/>
                <w:highlight w:val="none"/>
                <w:lang w:val="en-US" w:eastAsia="zh-CN"/>
              </w:rPr>
            </w:pPr>
          </w:p>
        </w:tc>
        <w:tc>
          <w:tcPr>
            <w:tcW w:w="4875" w:type="dxa"/>
            <w:tcBorders>
              <w:top w:val="single" w:color="000000" w:sz="4" w:space="0"/>
              <w:left w:val="single" w:color="000000" w:sz="4" w:space="0"/>
              <w:bottom w:val="single" w:color="000000" w:sz="4" w:space="0"/>
              <w:right w:val="single" w:color="000000" w:sz="4" w:space="0"/>
            </w:tcBorders>
          </w:tcPr>
          <w:p w14:paraId="4B644393">
            <w:pPr>
              <w:spacing w:line="259"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（1）投标人对本项目设计特点的分析：3 分&lt;优秀≤4 分， 2 分&lt;良≤3 分；1分&lt;一般≤2 分；0 分&lt;差≤1分。 </w:t>
            </w:r>
          </w:p>
          <w:p w14:paraId="65476CAA">
            <w:pPr>
              <w:spacing w:line="259"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 xml:space="preserve">（2）投标人对关键技术问题的认知及其对策措施：2 分&lt; 优秀≤3 分，1 分&lt;良≤2 分；0.5 分&lt;一般≤1 分；0 分&lt;差 ≤0.5 分。 </w:t>
            </w:r>
          </w:p>
          <w:p w14:paraId="08AE97F5">
            <w:pPr>
              <w:spacing w:line="259" w:lineRule="auto"/>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（3）指出本项目设计的重点与难点内容，针对重点和难点 内容提出相应的解决方案：2 分&lt;优秀≤3 分，1 分&lt;良≤2 分；0.5 分&lt;一般≤1 分；0 分&lt;差≤0.5 分。</w:t>
            </w:r>
          </w:p>
          <w:p w14:paraId="43E1A785">
            <w:pPr>
              <w:spacing w:line="259" w:lineRule="auto"/>
              <w:jc w:val="center"/>
              <w:rPr>
                <w:rFonts w:hint="eastAsia" w:ascii="宋体" w:hAnsi="宋体" w:eastAsia="宋体"/>
                <w:color w:val="auto"/>
                <w:highlight w:val="none"/>
                <w:lang w:val="en-US" w:eastAsia="zh-CN"/>
              </w:rPr>
            </w:pPr>
          </w:p>
        </w:tc>
      </w:tr>
    </w:tbl>
    <w:p w14:paraId="6C6845BF">
      <w:pPr>
        <w:pStyle w:val="2"/>
        <w:ind w:firstLine="0" w:firstLineChars="0"/>
        <w:rPr>
          <w:rFonts w:asciiTheme="minorEastAsia" w:hAnsiTheme="minorEastAsia"/>
          <w:color w:val="auto"/>
          <w:sz w:val="18"/>
          <w:szCs w:val="18"/>
          <w:highlight w:val="none"/>
          <w:lang w:val="en-US"/>
        </w:rPr>
      </w:pPr>
    </w:p>
    <w:p w14:paraId="295670C5">
      <w:pPr>
        <w:pStyle w:val="2"/>
        <w:ind w:firstLine="360"/>
        <w:rPr>
          <w:rFonts w:asciiTheme="minorEastAsia" w:hAnsiTheme="minorEastAsia"/>
          <w:color w:val="auto"/>
          <w:sz w:val="18"/>
          <w:szCs w:val="18"/>
          <w:highlight w:val="none"/>
        </w:rPr>
      </w:pPr>
    </w:p>
    <w:p w14:paraId="0E3E8010">
      <w:pPr>
        <w:spacing w:before="156" w:beforeLines="50" w:line="240" w:lineRule="exact"/>
        <w:rPr>
          <w:rFonts w:hAnsi="宋体" w:eastAsia="宋体" w:cs="宋体"/>
          <w:b/>
          <w:color w:val="auto"/>
          <w:szCs w:val="21"/>
          <w:highlight w:val="none"/>
        </w:rPr>
      </w:pPr>
      <w:r>
        <w:rPr>
          <w:rFonts w:hint="eastAsia" w:hAnsi="宋体" w:eastAsia="宋体" w:cs="宋体"/>
          <w:b/>
          <w:color w:val="auto"/>
          <w:szCs w:val="21"/>
          <w:highlight w:val="none"/>
        </w:rPr>
        <w:t>1.评标方法</w:t>
      </w:r>
    </w:p>
    <w:p w14:paraId="5BC8BC29">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1.1 本次评标，采用综合评</w:t>
      </w:r>
      <w:r>
        <w:rPr>
          <w:rFonts w:hint="eastAsia" w:hAnsi="宋体" w:eastAsia="宋体" w:cs="宋体"/>
          <w:color w:val="auto"/>
          <w:szCs w:val="21"/>
          <w:highlight w:val="none"/>
          <w:lang w:val="en-US" w:eastAsia="zh-CN"/>
        </w:rPr>
        <w:t>估</w:t>
      </w:r>
      <w:r>
        <w:rPr>
          <w:rFonts w:hint="eastAsia" w:hAnsi="宋体" w:eastAsia="宋体" w:cs="宋体"/>
          <w:color w:val="auto"/>
          <w:szCs w:val="21"/>
          <w:highlight w:val="none"/>
        </w:rPr>
        <w:t>法。</w:t>
      </w:r>
    </w:p>
    <w:p w14:paraId="180235F0">
      <w:pPr>
        <w:spacing w:line="400" w:lineRule="exact"/>
        <w:ind w:firstLine="420" w:firstLineChars="200"/>
        <w:rPr>
          <w:rFonts w:hAnsi="宋体" w:eastAsia="宋体" w:cs="宋体"/>
          <w:color w:val="auto"/>
          <w:szCs w:val="21"/>
          <w:highlight w:val="none"/>
        </w:rPr>
      </w:pPr>
      <w:r>
        <w:rPr>
          <w:rFonts w:hAnsi="宋体" w:eastAsia="宋体" w:cs="宋体"/>
          <w:color w:val="auto"/>
          <w:szCs w:val="21"/>
          <w:highlight w:val="none"/>
        </w:rPr>
        <w:t xml:space="preserve">评标委员会依次按照评标入围、初步评审、详细评审的顺序进行评审，对入围且满足招标文件实质性要求的投标文件，按照本章规定的评分标准进行打分，并按得分由高到低顺序推荐中标候选人，或根据招标人授权直接确定中标人，但投标报价低于其成本的除外。得分相等时，以投标报价低的优先；投标报价也相等的，由招标人自行确定。 </w:t>
      </w:r>
    </w:p>
    <w:p w14:paraId="18D98D7C">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1.2本办法未尽事宜，由评标委员会依据有关规定研究解决并具有最终解释权。</w:t>
      </w:r>
    </w:p>
    <w:p w14:paraId="733BCB83">
      <w:pPr>
        <w:ind w:right="113"/>
        <w:rPr>
          <w:rFonts w:hAnsi="宋体" w:eastAsia="宋体" w:cs="宋体"/>
          <w:color w:val="auto"/>
          <w:highlight w:val="none"/>
        </w:rPr>
      </w:pPr>
    </w:p>
    <w:p w14:paraId="1F4BC2D4">
      <w:pPr>
        <w:pStyle w:val="331"/>
        <w:rPr>
          <w:rFonts w:asciiTheme="minorHAnsi"/>
          <w:color w:val="auto"/>
          <w:highlight w:val="none"/>
        </w:rPr>
      </w:pPr>
      <w:r>
        <w:rPr>
          <w:rFonts w:hint="eastAsia" w:asciiTheme="minorHAnsi"/>
          <w:color w:val="auto"/>
          <w:highlight w:val="none"/>
        </w:rPr>
        <w:t>2. 评审标准</w:t>
      </w:r>
    </w:p>
    <w:p w14:paraId="6118D843">
      <w:pPr>
        <w:pStyle w:val="258"/>
        <w:rPr>
          <w:rFonts w:hAnsi="宋体" w:cs="宋体" w:asciiTheme="minorHAnsi"/>
          <w:color w:val="auto"/>
          <w:szCs w:val="21"/>
          <w:highlight w:val="none"/>
        </w:rPr>
      </w:pPr>
      <w:r>
        <w:rPr>
          <w:rFonts w:hint="eastAsia" w:hAnsi="宋体" w:cs="宋体" w:asciiTheme="minorHAnsi"/>
          <w:color w:val="auto"/>
          <w:szCs w:val="21"/>
          <w:highlight w:val="none"/>
        </w:rPr>
        <w:t>2.1 初步评审标准</w:t>
      </w:r>
    </w:p>
    <w:p w14:paraId="4F50F61D">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2.1.1 形式评审标准：见评标办法前附表。</w:t>
      </w:r>
    </w:p>
    <w:p w14:paraId="06D42475">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2.1.2 资格评审标准：见评标办法前附表。</w:t>
      </w:r>
    </w:p>
    <w:p w14:paraId="1382B7D1">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2.1.3 响应性评审标准：见评标办法前附表。</w:t>
      </w:r>
    </w:p>
    <w:p w14:paraId="35D663DA">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 评标程序</w:t>
      </w:r>
    </w:p>
    <w:p w14:paraId="10FBA08C">
      <w:pPr>
        <w:pStyle w:val="258"/>
        <w:rPr>
          <w:rFonts w:hAnsi="宋体" w:cs="宋体" w:asciiTheme="minorHAnsi"/>
          <w:color w:val="auto"/>
          <w:szCs w:val="21"/>
          <w:highlight w:val="none"/>
        </w:rPr>
      </w:pPr>
      <w:r>
        <w:rPr>
          <w:rFonts w:hint="eastAsia"/>
          <w:color w:val="auto"/>
          <w:highlight w:val="none"/>
        </w:rPr>
        <w:t>3.</w:t>
      </w:r>
      <w:r>
        <w:rPr>
          <w:rFonts w:hint="eastAsia" w:hAnsi="宋体" w:cs="宋体" w:asciiTheme="minorHAnsi"/>
          <w:color w:val="auto"/>
          <w:szCs w:val="21"/>
          <w:highlight w:val="none"/>
        </w:rPr>
        <w:t>1 评标准备</w:t>
      </w:r>
    </w:p>
    <w:p w14:paraId="1835714E">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3.1.1评标由招标人依法组建的招投标小组负责.招投标小组负责人由招投标小组成员推举产生。招投标小组成员应遵守有关法律、法规、规章，遵守评标纪律和其他有关评标规定。</w:t>
      </w:r>
    </w:p>
    <w:p w14:paraId="2F8761E2">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3.1.2招标人（或招标代理人）应向招投标小组提供下列资料供评标使用：</w:t>
      </w:r>
    </w:p>
    <w:p w14:paraId="4BDF4063">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⑴ 经备案的招标文件、包括补遗文件、答疑会纪要、工程量清单等；</w:t>
      </w:r>
    </w:p>
    <w:p w14:paraId="68986192">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⑵ 供评标使用的主要施工图纸、地质勘查报告等工程技术资料；</w:t>
      </w:r>
    </w:p>
    <w:p w14:paraId="651CDE49">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⑶ 工程概况和评标重点的书面介绍、包括工程规模、结构形式、工程特点、技术要求、施工重点和难点、施工采用的新方法新工艺和新材料、招标文件与示范文本有较大变动的条款及评标办法等。</w:t>
      </w:r>
    </w:p>
    <w:p w14:paraId="427A16C6">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3.1.3招投标小组应当认真研究招标文件，为满足评标需要。对招标文件中存在的问题的处理应由招投标小组成员讨论决定。招投标小组可以要求招标人对招标文件的内容作出澄清、说明，但澄清、说明不得改变招标文件的实质性内容。</w:t>
      </w:r>
    </w:p>
    <w:p w14:paraId="556F9B03">
      <w:pPr>
        <w:pStyle w:val="258"/>
        <w:rPr>
          <w:rFonts w:hAnsi="宋体" w:cs="宋体" w:asciiTheme="minorHAnsi"/>
          <w:b w:val="0"/>
          <w:bCs w:val="0"/>
          <w:color w:val="auto"/>
          <w:szCs w:val="21"/>
          <w:highlight w:val="none"/>
        </w:rPr>
      </w:pPr>
      <w:r>
        <w:rPr>
          <w:rFonts w:hint="eastAsia" w:hAnsi="宋体" w:cs="宋体" w:asciiTheme="minorHAnsi"/>
          <w:b w:val="0"/>
          <w:bCs w:val="0"/>
          <w:color w:val="auto"/>
          <w:szCs w:val="21"/>
          <w:highlight w:val="none"/>
        </w:rPr>
        <w:t>3.2初步评审</w:t>
      </w:r>
    </w:p>
    <w:p w14:paraId="4EFE3EDD">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3.2.1 招投标小组依据本章第2.1项规定的标准对投标文件进行初步评审。有一项不符合评审标准的，作无效投标文件处理。</w:t>
      </w:r>
    </w:p>
    <w:p w14:paraId="12D91077">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3.2.2  投标人有以下情形之一的，其投标作无效投标文件处理：</w:t>
      </w:r>
    </w:p>
    <w:p w14:paraId="132B1E27">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（1）第二章“投标人须知”第 1.4.2 项规定的任何一种情形的；</w:t>
      </w:r>
    </w:p>
    <w:p w14:paraId="50CC99B0">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（2）串通投标或弄虚作假或有其他违法行为的；</w:t>
      </w:r>
    </w:p>
    <w:p w14:paraId="2031F916">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（3）不按招投标小组要求澄清、说明或补正的；</w:t>
      </w:r>
    </w:p>
    <w:p w14:paraId="13AB3893">
      <w:pPr>
        <w:pStyle w:val="258"/>
        <w:rPr>
          <w:color w:val="auto"/>
          <w:highlight w:val="none"/>
        </w:rPr>
      </w:pPr>
      <w:r>
        <w:rPr>
          <w:rFonts w:hint="eastAsia"/>
          <w:color w:val="auto"/>
          <w:highlight w:val="none"/>
        </w:rPr>
        <w:t>3.3  详细评审</w:t>
      </w:r>
    </w:p>
    <w:p w14:paraId="73C6B8E3">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3.3.1 招投标小组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招投标小组认定该投标人以低于成本报价竞标，其投标无效投标文件处理。</w:t>
      </w:r>
    </w:p>
    <w:p w14:paraId="1A1463B0">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3.3.2评标过程中，若评标委员依据招标文件的规定作出无效标或废标决定后，有效投标不足3个的，招投标小组应视投标情况，作出以下评标结论：</w:t>
      </w:r>
    </w:p>
    <w:p w14:paraId="678CD2BC">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⑴ 认为投标仍具有竞争力，推荐中标候选人；</w:t>
      </w:r>
    </w:p>
    <w:p w14:paraId="1133C9DF">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⑵ 认为投标缺乏竞争力，或者根据本文件认定为围标串标的，否决所有投标，建议招标人重新组织招标。</w:t>
      </w:r>
    </w:p>
    <w:p w14:paraId="351A51E2">
      <w:pPr>
        <w:pStyle w:val="258"/>
        <w:rPr>
          <w:color w:val="auto"/>
          <w:highlight w:val="none"/>
        </w:rPr>
      </w:pPr>
      <w:r>
        <w:rPr>
          <w:rFonts w:hint="eastAsia"/>
          <w:color w:val="auto"/>
          <w:highlight w:val="none"/>
        </w:rPr>
        <w:t>3.4 投标文件的澄清和补正</w:t>
      </w:r>
    </w:p>
    <w:p w14:paraId="55C336F5">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3.4.1在评标过程中，招投标小组可以书面形式要求投标人对所提交投标文件中不明确的内容进行书面澄清或说明，或者对细微偏差进行补正。招投标小组不接受投标人主动提出的澄清、说明或补正。</w:t>
      </w:r>
    </w:p>
    <w:p w14:paraId="74D96FFC">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3.4.2 澄清、说明和补正不得改变投标文件的实质性内容（算术性错误修正的除外）。投标人的书面澄清、说明和补正属于投标文件的组成部分。</w:t>
      </w:r>
    </w:p>
    <w:p w14:paraId="7EE712A3">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3.4.3 招投标小组对投标人提交的澄清、说明或补正有疑问的，可以要求投标人进一步澄清、说明或补正，直至满足招投标小组的要求。</w:t>
      </w:r>
    </w:p>
    <w:p w14:paraId="551F4AB6">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3.4.4 凡超出招标文件规定的或给发包人带来未曾要求的利益的变化、偏差或其他因素在评标时不予考虑。</w:t>
      </w:r>
    </w:p>
    <w:p w14:paraId="15BBCFD3">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3.4.5有下列情形之一的，有下列情形之一的，视为投标人相互串通投标：</w:t>
      </w:r>
    </w:p>
    <w:p w14:paraId="0D36FEE9">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⑴ 不同投标人的投标文件内容存在非常一致的；</w:t>
      </w:r>
    </w:p>
    <w:p w14:paraId="7F76BC8E">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⑵ 不同投标人的投标文件错漏之处一致的；</w:t>
      </w:r>
    </w:p>
    <w:p w14:paraId="2020C7CE">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⑶ 不同投标人的投标文件由同一单位或者同一个人编制的；</w:t>
      </w:r>
    </w:p>
    <w:p w14:paraId="4E552CBA">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⑷ 不同投标人的投标报价或报价组成异常一致或者呈规律性变化的；</w:t>
      </w:r>
    </w:p>
    <w:p w14:paraId="19CA47BD">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⑸ 不同投标人的投标文件载明的项目管理班子成员出现同一人的；</w:t>
      </w:r>
    </w:p>
    <w:p w14:paraId="3CC6CBED">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⑹ 不同投标人的投标文件相互混装的；</w:t>
      </w:r>
    </w:p>
    <w:p w14:paraId="356D854D">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⑺ 不同投标人的投标文件由同一台电脑编制或者同一台附属设备打印的；</w:t>
      </w:r>
    </w:p>
    <w:p w14:paraId="04582D26">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⑻ 不同投标人委托同一单位或者个人办理投标事宜；</w:t>
      </w:r>
    </w:p>
    <w:p w14:paraId="300BE16A">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⑼ 不同投标人使用同一个人或者企业资金交纳投标保证金的；</w:t>
      </w:r>
    </w:p>
    <w:p w14:paraId="7EB27AA3">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⑽ 不同投标人的投标文件制作机器码相同或者投标文件创建标识码相同的；</w:t>
      </w:r>
    </w:p>
    <w:p w14:paraId="0922491A">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⑾不同投标人聘请同一个人为其投标提供技术或者经济咨询服务的，但招标工程本身要求专用专有技术的除外；</w:t>
      </w:r>
    </w:p>
    <w:p w14:paraId="7A90724C">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fldChar w:fldCharType="begin"/>
      </w:r>
      <w:r>
        <w:rPr>
          <w:rFonts w:hint="eastAsia" w:hAnsi="宋体" w:eastAsia="宋体" w:cs="宋体"/>
          <w:color w:val="auto"/>
          <w:szCs w:val="21"/>
          <w:highlight w:val="none"/>
        </w:rPr>
        <w:instrText xml:space="preserve"> = 12 \* GB2 \* MERGEFORMAT </w:instrText>
      </w:r>
      <w:r>
        <w:rPr>
          <w:rFonts w:hint="eastAsia" w:hAnsi="宋体" w:eastAsia="宋体" w:cs="宋体"/>
          <w:color w:val="auto"/>
          <w:szCs w:val="21"/>
          <w:highlight w:val="none"/>
        </w:rPr>
        <w:fldChar w:fldCharType="separate"/>
      </w:r>
      <w:r>
        <w:rPr>
          <w:rFonts w:hint="eastAsia" w:hAnsi="宋体" w:eastAsia="宋体" w:cs="宋体"/>
          <w:color w:val="auto"/>
          <w:szCs w:val="21"/>
          <w:highlight w:val="none"/>
        </w:rPr>
        <w:t>⑿</w:t>
      </w:r>
      <w:r>
        <w:rPr>
          <w:rFonts w:hint="eastAsia" w:hAnsi="宋体" w:eastAsia="宋体" w:cs="宋体"/>
          <w:color w:val="auto"/>
          <w:szCs w:val="21"/>
          <w:highlight w:val="none"/>
        </w:rPr>
        <w:fldChar w:fldCharType="end"/>
      </w:r>
      <w:r>
        <w:rPr>
          <w:rFonts w:hint="eastAsia" w:hAnsi="宋体" w:eastAsia="宋体" w:cs="宋体"/>
          <w:color w:val="auto"/>
          <w:szCs w:val="21"/>
          <w:highlight w:val="none"/>
        </w:rPr>
        <w:t>招投标小组认定的其他情形。</w:t>
      </w:r>
    </w:p>
    <w:p w14:paraId="767230A7">
      <w:pPr>
        <w:pStyle w:val="258"/>
        <w:rPr>
          <w:color w:val="auto"/>
          <w:highlight w:val="none"/>
        </w:rPr>
      </w:pPr>
      <w:r>
        <w:rPr>
          <w:rFonts w:hint="eastAsia"/>
          <w:color w:val="auto"/>
          <w:highlight w:val="none"/>
        </w:rPr>
        <w:t>3.5  评标结果</w:t>
      </w:r>
    </w:p>
    <w:p w14:paraId="4E531861">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3.5.1除第二章“投标人须知”前附表授权直接确定中标人外，招投标小组按照综合得分由高到低的顺序推荐3名中标候选人，并标明排序。</w:t>
      </w:r>
    </w:p>
    <w:p w14:paraId="620EE67A">
      <w:pPr>
        <w:spacing w:line="400" w:lineRule="exact"/>
        <w:ind w:firstLine="420" w:firstLineChars="200"/>
        <w:rPr>
          <w:rFonts w:hAnsi="宋体" w:eastAsia="宋体" w:cs="宋体"/>
          <w:color w:val="auto"/>
          <w:szCs w:val="21"/>
          <w:highlight w:val="none"/>
        </w:rPr>
      </w:pPr>
      <w:r>
        <w:rPr>
          <w:rFonts w:hint="eastAsia" w:hAnsi="宋体" w:eastAsia="宋体" w:cs="宋体"/>
          <w:color w:val="auto"/>
          <w:szCs w:val="21"/>
          <w:highlight w:val="none"/>
        </w:rPr>
        <w:t>3.5.2 招投标小组完成评标后，应当向招标人提交书面评标报告。</w:t>
      </w:r>
    </w:p>
    <w:p w14:paraId="28485F9C">
      <w:pPr>
        <w:rPr>
          <w:rFonts w:ascii="宋体" w:hAnsi="宋体" w:eastAsia="宋体" w:cs="宋体"/>
          <w:color w:val="auto"/>
          <w:highlight w:val="none"/>
        </w:rPr>
      </w:pPr>
      <w:r>
        <w:rPr>
          <w:rFonts w:hint="eastAsia" w:ascii="宋体" w:hAnsi="宋体" w:eastAsia="宋体" w:cs="宋体"/>
          <w:color w:val="auto"/>
          <w:sz w:val="20"/>
          <w:highlight w:val="none"/>
        </w:rPr>
        <w:t xml:space="preserve"> </w:t>
      </w:r>
    </w:p>
    <w:p w14:paraId="314390C2">
      <w:pPr>
        <w:rPr>
          <w:rFonts w:ascii="宋体" w:hAnsi="宋体" w:eastAsia="宋体" w:cs="宋体"/>
          <w:b/>
          <w:color w:val="auto"/>
          <w:sz w:val="36"/>
          <w:szCs w:val="36"/>
          <w:highlight w:val="none"/>
        </w:rPr>
      </w:pPr>
      <w:r>
        <w:rPr>
          <w:rFonts w:hint="eastAsia" w:ascii="宋体" w:hAnsi="宋体" w:eastAsia="宋体" w:cs="宋体"/>
          <w:color w:val="auto"/>
          <w:sz w:val="20"/>
          <w:highlight w:val="none"/>
        </w:rPr>
        <w:t xml:space="preserve"> </w:t>
      </w:r>
      <w:bookmarkEnd w:id="241"/>
    </w:p>
    <w:p w14:paraId="1855ADCE">
      <w:pPr>
        <w:pStyle w:val="3"/>
        <w:rPr>
          <w:rFonts w:ascii="宋体" w:hAnsi="宋体" w:cs="宋体"/>
          <w:b w:val="0"/>
          <w:color w:val="auto"/>
          <w:sz w:val="32"/>
          <w:szCs w:val="32"/>
          <w:highlight w:val="none"/>
        </w:rPr>
      </w:pPr>
      <w:bookmarkStart w:id="244" w:name="_Toc494527201"/>
      <w:bookmarkStart w:id="245" w:name="_Toc275703024"/>
      <w:bookmarkStart w:id="246" w:name="_Toc456684188"/>
      <w:bookmarkStart w:id="247" w:name="_Toc14003"/>
      <w:bookmarkStart w:id="248" w:name="_Toc16948"/>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章</w:t>
      </w:r>
      <w:bookmarkEnd w:id="244"/>
      <w:bookmarkEnd w:id="245"/>
      <w:bookmarkEnd w:id="246"/>
      <w:bookmarkStart w:id="249" w:name="_Toc275703025"/>
      <w:bookmarkStart w:id="250" w:name="_Toc456684189"/>
      <w:bookmarkStart w:id="251" w:name="_Toc494527202"/>
      <w:bookmarkStart w:id="252" w:name="_Toc275703026"/>
      <w:bookmarkStart w:id="253" w:name="_Toc203303043"/>
      <w:r>
        <w:rPr>
          <w:rFonts w:hint="eastAsia" w:ascii="宋体" w:hAnsi="宋体" w:cs="宋体"/>
          <w:b w:val="0"/>
          <w:color w:val="auto"/>
          <w:sz w:val="32"/>
          <w:szCs w:val="32"/>
          <w:highlight w:val="none"/>
        </w:rPr>
        <w:t xml:space="preserve">   </w:t>
      </w:r>
      <w:r>
        <w:rPr>
          <w:rFonts w:hint="eastAsia" w:ascii="宋体" w:hAnsi="宋体" w:cs="宋体"/>
          <w:color w:val="auto"/>
          <w:highlight w:val="none"/>
        </w:rPr>
        <w:t>技术规范</w:t>
      </w:r>
      <w:bookmarkEnd w:id="247"/>
      <w:bookmarkEnd w:id="248"/>
      <w:bookmarkEnd w:id="249"/>
      <w:bookmarkEnd w:id="250"/>
      <w:bookmarkEnd w:id="251"/>
      <w:r>
        <w:rPr>
          <w:rFonts w:hint="eastAsia" w:ascii="宋体" w:hAnsi="宋体" w:cs="宋体"/>
          <w:color w:val="auto"/>
          <w:highlight w:val="none"/>
        </w:rPr>
        <w:t>及相关要求</w:t>
      </w:r>
    </w:p>
    <w:bookmarkEnd w:id="252"/>
    <w:bookmarkEnd w:id="253"/>
    <w:p w14:paraId="47B1543F">
      <w:pPr>
        <w:pStyle w:val="51"/>
        <w:ind w:left="0" w:leftChars="0" w:firstLine="0" w:firstLineChars="0"/>
        <w:rPr>
          <w:rFonts w:hint="default" w:ascii="宋体" w:hAnsi="宋体" w:eastAsia="宋体" w:cs="宋体"/>
          <w:color w:val="auto"/>
          <w:spacing w:val="30"/>
          <w:sz w:val="32"/>
          <w:highlight w:val="none"/>
          <w:lang w:val="en-US" w:eastAsia="zh-CN"/>
        </w:rPr>
      </w:pPr>
      <w:r>
        <w:rPr>
          <w:rFonts w:hint="eastAsia" w:ascii="宋体" w:hAnsi="宋体" w:cs="宋体"/>
          <w:color w:val="auto"/>
          <w:spacing w:val="30"/>
          <w:sz w:val="32"/>
          <w:highlight w:val="none"/>
          <w:lang w:val="en-US" w:eastAsia="zh-CN"/>
        </w:rPr>
        <w:t>/</w:t>
      </w:r>
    </w:p>
    <w:p w14:paraId="08BC05CD">
      <w:pPr>
        <w:pStyle w:val="51"/>
        <w:ind w:left="0" w:leftChars="0" w:firstLine="0" w:firstLineChars="0"/>
        <w:rPr>
          <w:rFonts w:ascii="宋体" w:hAnsi="宋体" w:cs="宋体"/>
          <w:color w:val="auto"/>
          <w:spacing w:val="30"/>
          <w:sz w:val="32"/>
          <w:highlight w:val="none"/>
        </w:rPr>
      </w:pPr>
    </w:p>
    <w:p w14:paraId="1A8F73FD">
      <w:pPr>
        <w:pStyle w:val="51"/>
        <w:ind w:left="0" w:leftChars="0" w:firstLine="0" w:firstLineChars="0"/>
        <w:rPr>
          <w:rFonts w:ascii="宋体" w:hAnsi="宋体" w:cs="宋体"/>
          <w:color w:val="auto"/>
          <w:spacing w:val="30"/>
          <w:sz w:val="32"/>
          <w:highlight w:val="none"/>
        </w:rPr>
      </w:pPr>
    </w:p>
    <w:p w14:paraId="308B337A">
      <w:pPr>
        <w:pStyle w:val="51"/>
        <w:ind w:left="0" w:leftChars="0" w:firstLine="0" w:firstLineChars="0"/>
        <w:rPr>
          <w:rFonts w:ascii="宋体" w:hAnsi="宋体" w:cs="宋体"/>
          <w:color w:val="auto"/>
          <w:spacing w:val="30"/>
          <w:sz w:val="32"/>
          <w:highlight w:val="none"/>
        </w:rPr>
      </w:pPr>
    </w:p>
    <w:p w14:paraId="23C62391">
      <w:pPr>
        <w:pStyle w:val="51"/>
        <w:ind w:left="0" w:leftChars="0" w:firstLine="0" w:firstLineChars="0"/>
        <w:rPr>
          <w:rFonts w:ascii="宋体" w:hAnsi="宋体" w:cs="宋体"/>
          <w:color w:val="auto"/>
          <w:spacing w:val="30"/>
          <w:sz w:val="32"/>
          <w:highlight w:val="none"/>
        </w:rPr>
      </w:pPr>
    </w:p>
    <w:p w14:paraId="48F2DBC7">
      <w:pPr>
        <w:keepNext/>
        <w:keepLines/>
        <w:spacing w:before="340" w:after="330" w:line="576" w:lineRule="auto"/>
        <w:outlineLvl w:val="0"/>
        <w:rPr>
          <w:rFonts w:ascii="Calibri" w:hAnsi="Calibri" w:eastAsia="宋体" w:cs="Times New Roman"/>
          <w:b/>
          <w:color w:val="auto"/>
          <w:kern w:val="44"/>
          <w:sz w:val="44"/>
          <w:szCs w:val="20"/>
          <w:highlight w:val="none"/>
        </w:rPr>
      </w:pPr>
      <w:bookmarkStart w:id="254" w:name="_Toc26805"/>
      <w:bookmarkStart w:id="255" w:name="_Toc456684190"/>
      <w:bookmarkStart w:id="256" w:name="_Toc1375"/>
      <w:bookmarkStart w:id="257" w:name="_Toc494527203"/>
      <w:r>
        <w:rPr>
          <w:rFonts w:hint="eastAsia" w:ascii="宋体" w:hAnsi="宋体" w:eastAsia="宋体" w:cs="宋体"/>
          <w:b/>
          <w:color w:val="auto"/>
          <w:kern w:val="44"/>
          <w:sz w:val="44"/>
          <w:szCs w:val="20"/>
          <w:highlight w:val="none"/>
        </w:rPr>
        <w:t>第</w:t>
      </w:r>
      <w:r>
        <w:rPr>
          <w:rFonts w:hint="eastAsia" w:ascii="宋体" w:hAnsi="宋体" w:eastAsia="宋体" w:cs="宋体"/>
          <w:b/>
          <w:color w:val="auto"/>
          <w:kern w:val="44"/>
          <w:sz w:val="44"/>
          <w:szCs w:val="20"/>
          <w:highlight w:val="none"/>
          <w:lang w:val="en-US" w:eastAsia="zh-CN"/>
        </w:rPr>
        <w:t>五</w:t>
      </w:r>
      <w:r>
        <w:rPr>
          <w:rFonts w:hint="eastAsia" w:ascii="宋体" w:hAnsi="宋体" w:eastAsia="宋体" w:cs="宋体"/>
          <w:b/>
          <w:color w:val="auto"/>
          <w:kern w:val="44"/>
          <w:sz w:val="44"/>
          <w:szCs w:val="20"/>
          <w:highlight w:val="none"/>
        </w:rPr>
        <w:t>章</w:t>
      </w:r>
      <w:r>
        <w:rPr>
          <w:rFonts w:hint="eastAsia" w:ascii="宋体" w:hAnsi="宋体" w:eastAsia="宋体" w:cs="宋体"/>
          <w:color w:val="auto"/>
          <w:kern w:val="44"/>
          <w:sz w:val="32"/>
          <w:szCs w:val="32"/>
          <w:highlight w:val="none"/>
        </w:rPr>
        <w:t xml:space="preserve">   </w:t>
      </w:r>
      <w:r>
        <w:rPr>
          <w:rFonts w:hint="eastAsia" w:ascii="宋体" w:hAnsi="宋体" w:eastAsia="宋体" w:cs="宋体"/>
          <w:b/>
          <w:color w:val="auto"/>
          <w:kern w:val="44"/>
          <w:sz w:val="44"/>
          <w:szCs w:val="20"/>
          <w:highlight w:val="none"/>
        </w:rPr>
        <w:t>投标文件格式</w:t>
      </w:r>
      <w:bookmarkEnd w:id="254"/>
      <w:bookmarkEnd w:id="255"/>
      <w:bookmarkEnd w:id="256"/>
      <w:bookmarkEnd w:id="257"/>
    </w:p>
    <w:p w14:paraId="01342D3B">
      <w:pPr>
        <w:pStyle w:val="51"/>
        <w:rPr>
          <w:rFonts w:ascii="宋体" w:hAnsi="宋体" w:cs="宋体"/>
          <w:color w:val="auto"/>
          <w:spacing w:val="30"/>
          <w:sz w:val="32"/>
          <w:highlight w:val="none"/>
        </w:rPr>
      </w:pPr>
    </w:p>
    <w:p w14:paraId="13D31F4F">
      <w:pPr>
        <w:jc w:val="right"/>
        <w:rPr>
          <w:rFonts w:ascii="宋体" w:hAnsi="宋体" w:eastAsia="宋体" w:cs="宋体"/>
          <w:color w:val="auto"/>
          <w:spacing w:val="30"/>
          <w:sz w:val="32"/>
          <w:highlight w:val="none"/>
        </w:rPr>
      </w:pPr>
      <w:r>
        <w:rPr>
          <w:rFonts w:hint="eastAsia" w:ascii="宋体" w:hAnsi="宋体" w:eastAsia="宋体" w:cs="宋体"/>
          <w:color w:val="auto"/>
          <w:spacing w:val="30"/>
          <w:sz w:val="32"/>
          <w:highlight w:val="none"/>
        </w:rPr>
        <w:t>正(副)本</w:t>
      </w:r>
    </w:p>
    <w:p w14:paraId="7E0A86C7">
      <w:pPr>
        <w:rPr>
          <w:rFonts w:ascii="宋体" w:hAnsi="宋体" w:eastAsia="宋体" w:cs="宋体"/>
          <w:color w:val="auto"/>
          <w:spacing w:val="30"/>
          <w:sz w:val="36"/>
          <w:highlight w:val="none"/>
          <w:u w:val="single"/>
        </w:rPr>
      </w:pPr>
    </w:p>
    <w:p w14:paraId="000234EE">
      <w:pPr>
        <w:jc w:val="center"/>
        <w:rPr>
          <w:rFonts w:ascii="宋体" w:hAnsi="宋体" w:eastAsia="宋体" w:cs="宋体"/>
          <w:color w:val="auto"/>
          <w:sz w:val="48"/>
          <w:highlight w:val="none"/>
        </w:rPr>
      </w:pPr>
    </w:p>
    <w:p w14:paraId="60FE721B">
      <w:pPr>
        <w:pStyle w:val="19"/>
        <w:spacing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u w:val="single"/>
        </w:rPr>
        <w:t xml:space="preserve">                    </w:t>
      </w:r>
      <w:r>
        <w:rPr>
          <w:rFonts w:hint="eastAsia" w:ascii="宋体" w:hAnsi="宋体" w:eastAsia="宋体" w:cs="宋体"/>
          <w:b/>
          <w:color w:val="auto"/>
          <w:sz w:val="44"/>
          <w:szCs w:val="44"/>
          <w:highlight w:val="none"/>
          <w:lang w:val="en-US" w:eastAsia="zh-CN"/>
        </w:rPr>
        <w:t>项目</w:t>
      </w:r>
    </w:p>
    <w:p w14:paraId="4F09CCA3">
      <w:pPr>
        <w:pStyle w:val="19"/>
        <w:spacing w:line="360" w:lineRule="auto"/>
        <w:rPr>
          <w:rFonts w:ascii="宋体" w:hAnsi="宋体" w:eastAsia="宋体" w:cs="宋体"/>
          <w:b/>
          <w:color w:val="auto"/>
          <w:sz w:val="44"/>
          <w:szCs w:val="44"/>
          <w:highlight w:val="none"/>
          <w:u w:val="single"/>
        </w:rPr>
      </w:pPr>
      <w:r>
        <w:rPr>
          <w:rFonts w:hint="eastAsia" w:ascii="宋体" w:hAnsi="宋体" w:eastAsia="宋体" w:cs="宋体"/>
          <w:b/>
          <w:color w:val="auto"/>
          <w:sz w:val="44"/>
          <w:szCs w:val="44"/>
          <w:highlight w:val="none"/>
        </w:rPr>
        <w:t xml:space="preserve">         </w:t>
      </w:r>
    </w:p>
    <w:p w14:paraId="53D4FCDF">
      <w:pPr>
        <w:spacing w:line="360" w:lineRule="auto"/>
        <w:jc w:val="center"/>
        <w:rPr>
          <w:rFonts w:ascii="宋体" w:hAnsi="宋体" w:eastAsia="宋体" w:cs="宋体"/>
          <w:b/>
          <w:color w:val="auto"/>
          <w:sz w:val="44"/>
          <w:szCs w:val="44"/>
          <w:highlight w:val="none"/>
        </w:rPr>
      </w:pPr>
    </w:p>
    <w:p w14:paraId="40DF3709">
      <w:pPr>
        <w:spacing w:line="360" w:lineRule="auto"/>
        <w:jc w:val="center"/>
        <w:rPr>
          <w:rFonts w:ascii="宋体" w:hAnsi="宋体" w:eastAsia="宋体" w:cs="宋体"/>
          <w:b/>
          <w:color w:val="auto"/>
          <w:sz w:val="76"/>
          <w:highlight w:val="none"/>
        </w:rPr>
      </w:pPr>
    </w:p>
    <w:p w14:paraId="4C49E721">
      <w:pPr>
        <w:spacing w:line="360" w:lineRule="auto"/>
        <w:jc w:val="center"/>
        <w:rPr>
          <w:rFonts w:ascii="宋体" w:hAnsi="宋体" w:eastAsia="宋体" w:cs="宋体"/>
          <w:b/>
          <w:color w:val="auto"/>
          <w:sz w:val="72"/>
          <w:szCs w:val="72"/>
          <w:highlight w:val="none"/>
        </w:rPr>
      </w:pPr>
      <w:bookmarkStart w:id="258" w:name="_Toc275703908"/>
      <w:r>
        <w:rPr>
          <w:rFonts w:hint="eastAsia" w:ascii="宋体" w:hAnsi="宋体" w:eastAsia="宋体" w:cs="宋体"/>
          <w:b/>
          <w:color w:val="auto"/>
          <w:sz w:val="72"/>
          <w:szCs w:val="72"/>
          <w:highlight w:val="none"/>
        </w:rPr>
        <w:t>投 标 文 件</w:t>
      </w:r>
      <w:bookmarkEnd w:id="258"/>
    </w:p>
    <w:p w14:paraId="5B5562FA">
      <w:pPr>
        <w:rPr>
          <w:rFonts w:ascii="宋体" w:hAnsi="宋体" w:eastAsia="宋体" w:cs="宋体"/>
          <w:color w:val="auto"/>
          <w:spacing w:val="30"/>
          <w:sz w:val="36"/>
          <w:highlight w:val="none"/>
        </w:rPr>
      </w:pPr>
    </w:p>
    <w:p w14:paraId="70857140">
      <w:pPr>
        <w:jc w:val="center"/>
        <w:rPr>
          <w:rFonts w:ascii="宋体" w:hAnsi="宋体" w:eastAsia="宋体" w:cs="宋体"/>
          <w:color w:val="auto"/>
          <w:sz w:val="28"/>
          <w:highlight w:val="none"/>
        </w:rPr>
      </w:pPr>
    </w:p>
    <w:p w14:paraId="564C3315">
      <w:pPr>
        <w:jc w:val="center"/>
        <w:rPr>
          <w:rFonts w:ascii="宋体" w:hAnsi="宋体" w:eastAsia="宋体" w:cs="宋体"/>
          <w:color w:val="auto"/>
          <w:sz w:val="28"/>
          <w:highlight w:val="none"/>
        </w:rPr>
      </w:pPr>
    </w:p>
    <w:p w14:paraId="77146B3E">
      <w:pPr>
        <w:jc w:val="center"/>
        <w:rPr>
          <w:rFonts w:ascii="宋体" w:hAnsi="宋体" w:eastAsia="宋体" w:cs="宋体"/>
          <w:color w:val="auto"/>
          <w:sz w:val="28"/>
          <w:highlight w:val="none"/>
        </w:rPr>
      </w:pPr>
      <w:bookmarkStart w:id="259" w:name="_Toc275703909"/>
    </w:p>
    <w:p w14:paraId="05491C06">
      <w:pPr>
        <w:jc w:val="center"/>
        <w:rPr>
          <w:rFonts w:ascii="宋体" w:hAnsi="宋体" w:eastAsia="宋体" w:cs="宋体"/>
          <w:color w:val="auto"/>
          <w:sz w:val="28"/>
          <w:highlight w:val="none"/>
          <w:u w:val="single"/>
        </w:rPr>
      </w:pPr>
      <w:r>
        <w:rPr>
          <w:rFonts w:hint="eastAsia" w:ascii="宋体" w:hAnsi="宋体" w:eastAsia="宋体" w:cs="宋体"/>
          <w:color w:val="auto"/>
          <w:sz w:val="28"/>
          <w:highlight w:val="none"/>
        </w:rPr>
        <w:t>投标人：</w:t>
      </w:r>
      <w:r>
        <w:rPr>
          <w:rFonts w:hint="eastAsia" w:ascii="宋体" w:hAnsi="宋体" w:eastAsia="宋体" w:cs="宋体"/>
          <w:color w:val="auto"/>
          <w:sz w:val="28"/>
          <w:highlight w:val="none"/>
          <w:u w:val="single"/>
        </w:rPr>
        <w:t xml:space="preserve">     （全称并盖单位章）</w:t>
      </w:r>
      <w:bookmarkEnd w:id="259"/>
      <w:r>
        <w:rPr>
          <w:rFonts w:hint="eastAsia" w:ascii="宋体" w:hAnsi="宋体" w:eastAsia="宋体" w:cs="宋体"/>
          <w:color w:val="auto"/>
          <w:sz w:val="28"/>
          <w:highlight w:val="none"/>
          <w:u w:val="single"/>
        </w:rPr>
        <w:t xml:space="preserve">    </w:t>
      </w:r>
    </w:p>
    <w:p w14:paraId="2EC85129">
      <w:pPr>
        <w:jc w:val="center"/>
        <w:rPr>
          <w:rFonts w:ascii="宋体" w:hAnsi="宋体" w:eastAsia="宋体" w:cs="宋体"/>
          <w:color w:val="auto"/>
          <w:highlight w:val="none"/>
        </w:rPr>
      </w:pPr>
    </w:p>
    <w:p w14:paraId="758A0963">
      <w:pPr>
        <w:jc w:val="center"/>
        <w:rPr>
          <w:rFonts w:ascii="宋体" w:hAnsi="宋体" w:eastAsia="宋体" w:cs="宋体"/>
          <w:color w:val="auto"/>
          <w:highlight w:val="none"/>
        </w:rPr>
      </w:pPr>
      <w:r>
        <w:rPr>
          <w:rFonts w:hint="eastAsia" w:ascii="宋体" w:hAnsi="宋体" w:eastAsia="宋体" w:cs="宋体"/>
          <w:color w:val="auto"/>
          <w:highlight w:val="none"/>
        </w:rPr>
        <w:t xml:space="preserve">       </w:t>
      </w:r>
    </w:p>
    <w:p w14:paraId="31D07C81">
      <w:pPr>
        <w:jc w:val="center"/>
        <w:rPr>
          <w:rFonts w:ascii="宋体" w:hAnsi="宋体" w:eastAsia="宋体" w:cs="宋体"/>
          <w:color w:val="auto"/>
          <w:sz w:val="28"/>
          <w:highlight w:val="none"/>
        </w:rPr>
      </w:pPr>
      <w:r>
        <w:rPr>
          <w:rFonts w:hint="eastAsia" w:ascii="宋体" w:hAnsi="宋体" w:eastAsia="宋体" w:cs="宋体"/>
          <w:color w:val="auto"/>
          <w:sz w:val="28"/>
          <w:highlight w:val="none"/>
          <w:u w:val="single"/>
        </w:rPr>
        <w:t xml:space="preserve">       </w:t>
      </w:r>
      <w:bookmarkStart w:id="260" w:name="_Toc275703910"/>
      <w:r>
        <w:rPr>
          <w:rFonts w:hint="eastAsia" w:ascii="宋体" w:hAnsi="宋体" w:eastAsia="宋体" w:cs="宋体"/>
          <w:color w:val="auto"/>
          <w:sz w:val="28"/>
          <w:highlight w:val="none"/>
        </w:rPr>
        <w:t>年</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月</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rPr>
        <w:t>日</w:t>
      </w:r>
      <w:bookmarkEnd w:id="260"/>
      <w:bookmarkStart w:id="261" w:name="_Toc152045788"/>
      <w:bookmarkStart w:id="262" w:name="_Toc179632808"/>
      <w:bookmarkStart w:id="263" w:name="_Toc275703921"/>
      <w:bookmarkStart w:id="264" w:name="_Toc144974857"/>
      <w:bookmarkStart w:id="265" w:name="_Toc7433"/>
      <w:bookmarkStart w:id="266" w:name="_Toc415754613"/>
      <w:bookmarkStart w:id="267" w:name="_Toc400610946"/>
      <w:bookmarkStart w:id="268" w:name="_Toc424137586"/>
      <w:bookmarkStart w:id="269" w:name="_Toc400611025"/>
      <w:bookmarkStart w:id="270" w:name="_Toc152042577"/>
      <w:bookmarkStart w:id="271" w:name="_Toc430672691"/>
      <w:bookmarkStart w:id="272" w:name="_Toc127265867"/>
      <w:bookmarkStart w:id="273" w:name="_Toc158103912"/>
      <w:bookmarkStart w:id="274" w:name="_Toc145491911"/>
      <w:bookmarkStart w:id="275" w:name="_Toc203303044"/>
      <w:bookmarkStart w:id="276" w:name="_Toc127265361"/>
      <w:bookmarkStart w:id="277" w:name="_Toc110934843"/>
      <w:bookmarkStart w:id="278" w:name="_Toc127266013"/>
    </w:p>
    <w:bookmarkEnd w:id="261"/>
    <w:bookmarkEnd w:id="262"/>
    <w:bookmarkEnd w:id="263"/>
    <w:bookmarkEnd w:id="264"/>
    <w:bookmarkEnd w:id="265"/>
    <w:bookmarkEnd w:id="266"/>
    <w:bookmarkEnd w:id="267"/>
    <w:bookmarkEnd w:id="268"/>
    <w:bookmarkEnd w:id="269"/>
    <w:bookmarkEnd w:id="270"/>
    <w:bookmarkEnd w:id="271"/>
    <w:p w14:paraId="237E34DF">
      <w:pPr>
        <w:pStyle w:val="51"/>
        <w:ind w:left="0" w:leftChars="0" w:firstLine="0" w:firstLineChars="0"/>
        <w:rPr>
          <w:rFonts w:hint="eastAsia" w:ascii="宋体" w:hAnsi="宋体" w:cs="宋体"/>
          <w:bCs/>
          <w:color w:val="auto"/>
          <w:sz w:val="28"/>
          <w:szCs w:val="28"/>
          <w:highlight w:val="none"/>
        </w:rPr>
      </w:pPr>
      <w:bookmarkStart w:id="279" w:name="_Toc25460"/>
      <w:bookmarkStart w:id="280" w:name="_Toc25189"/>
      <w:bookmarkStart w:id="281" w:name="_Toc32275"/>
      <w:bookmarkStart w:id="282" w:name="_Toc23933"/>
      <w:bookmarkStart w:id="283" w:name="_Toc5824"/>
      <w:bookmarkStart w:id="284" w:name="_Toc486918631"/>
      <w:bookmarkStart w:id="285" w:name="_Toc496862798"/>
      <w:bookmarkStart w:id="286" w:name="_Toc403"/>
      <w:bookmarkStart w:id="287" w:name="_Toc497140245"/>
      <w:bookmarkStart w:id="288" w:name="_Toc431309127"/>
      <w:bookmarkStart w:id="289" w:name="_Toc275704002"/>
      <w:bookmarkStart w:id="290" w:name="_Toc152045795"/>
      <w:bookmarkStart w:id="291" w:name="_Toc152042584"/>
      <w:bookmarkStart w:id="292" w:name="_Toc144974863"/>
      <w:bookmarkStart w:id="293" w:name="_Toc179632815"/>
    </w:p>
    <w:p w14:paraId="5F6C13CB">
      <w:pPr>
        <w:pStyle w:val="3"/>
        <w:jc w:val="center"/>
        <w:rPr>
          <w:rFonts w:hint="eastAsia" w:ascii="宋体" w:hAnsi="宋体" w:cs="宋体"/>
          <w:bCs/>
          <w:color w:val="auto"/>
          <w:sz w:val="28"/>
          <w:szCs w:val="28"/>
          <w:highlight w:val="none"/>
        </w:rPr>
      </w:pPr>
    </w:p>
    <w:p w14:paraId="150E254F">
      <w:pPr>
        <w:rPr>
          <w:rFonts w:hint="eastAsia"/>
          <w:color w:val="auto"/>
          <w:highlight w:val="none"/>
        </w:rPr>
      </w:pPr>
    </w:p>
    <w:p w14:paraId="1B6A9271">
      <w:pPr>
        <w:pStyle w:val="3"/>
        <w:jc w:val="both"/>
        <w:rPr>
          <w:rFonts w:hint="eastAsia" w:ascii="宋体" w:hAnsi="宋体" w:cs="宋体"/>
          <w:bCs/>
          <w:color w:val="auto"/>
          <w:sz w:val="28"/>
          <w:szCs w:val="28"/>
          <w:highlight w:val="none"/>
        </w:rPr>
      </w:pPr>
    </w:p>
    <w:p w14:paraId="7A3BCF40">
      <w:pPr>
        <w:rPr>
          <w:rFonts w:hint="eastAsia" w:ascii="宋体" w:hAnsi="宋体" w:cs="宋体"/>
          <w:bCs/>
          <w:color w:val="auto"/>
          <w:sz w:val="28"/>
          <w:szCs w:val="28"/>
          <w:highlight w:val="none"/>
        </w:rPr>
      </w:pPr>
    </w:p>
    <w:p w14:paraId="5FB234AA">
      <w:pPr>
        <w:pStyle w:val="51"/>
        <w:rPr>
          <w:rFonts w:hint="eastAsia" w:ascii="宋体" w:hAnsi="宋体" w:cs="宋体"/>
          <w:bCs/>
          <w:color w:val="auto"/>
          <w:sz w:val="28"/>
          <w:szCs w:val="28"/>
          <w:highlight w:val="none"/>
        </w:rPr>
      </w:pPr>
    </w:p>
    <w:p w14:paraId="2FFE3C9A">
      <w:pPr>
        <w:pStyle w:val="51"/>
        <w:rPr>
          <w:rFonts w:hint="eastAsia" w:ascii="宋体" w:hAnsi="宋体" w:cs="宋体"/>
          <w:bCs/>
          <w:color w:val="auto"/>
          <w:sz w:val="28"/>
          <w:szCs w:val="28"/>
          <w:highlight w:val="none"/>
        </w:rPr>
      </w:pPr>
    </w:p>
    <w:p w14:paraId="7D0973D1">
      <w:pPr>
        <w:pStyle w:val="51"/>
        <w:rPr>
          <w:rFonts w:hint="eastAsia" w:ascii="宋体" w:hAnsi="宋体" w:cs="宋体"/>
          <w:bCs/>
          <w:color w:val="auto"/>
          <w:sz w:val="28"/>
          <w:szCs w:val="28"/>
          <w:highlight w:val="none"/>
        </w:rPr>
      </w:pPr>
    </w:p>
    <w:p w14:paraId="0666F127">
      <w:pPr>
        <w:pStyle w:val="51"/>
        <w:rPr>
          <w:rFonts w:hint="eastAsia" w:ascii="宋体" w:hAnsi="宋体" w:cs="宋体"/>
          <w:bCs/>
          <w:color w:val="auto"/>
          <w:sz w:val="28"/>
          <w:szCs w:val="28"/>
          <w:highlight w:val="none"/>
        </w:rPr>
      </w:pPr>
    </w:p>
    <w:p w14:paraId="04D1D8EB">
      <w:pPr>
        <w:pStyle w:val="3"/>
        <w:jc w:val="center"/>
        <w:rPr>
          <w:rFonts w:ascii="宋体" w:hAnsi="宋体" w:cs="宋体"/>
          <w:bCs/>
          <w:color w:val="auto"/>
          <w:sz w:val="28"/>
          <w:szCs w:val="28"/>
          <w:highlight w:val="none"/>
        </w:rPr>
      </w:pPr>
      <w:r>
        <w:rPr>
          <w:rFonts w:hint="eastAsia" w:ascii="宋体" w:hAnsi="宋体" w:cs="宋体"/>
          <w:bCs/>
          <w:color w:val="auto"/>
          <w:sz w:val="28"/>
          <w:szCs w:val="28"/>
          <w:highlight w:val="none"/>
        </w:rPr>
        <w:t>一、投标函</w:t>
      </w:r>
      <w:bookmarkEnd w:id="279"/>
      <w:bookmarkEnd w:id="280"/>
      <w:bookmarkEnd w:id="281"/>
      <w:bookmarkEnd w:id="282"/>
      <w:bookmarkEnd w:id="283"/>
      <w:bookmarkEnd w:id="284"/>
      <w:bookmarkEnd w:id="285"/>
      <w:bookmarkEnd w:id="286"/>
      <w:bookmarkEnd w:id="287"/>
      <w:bookmarkEnd w:id="288"/>
    </w:p>
    <w:p w14:paraId="705F0CD5">
      <w:pPr>
        <w:pStyle w:val="28"/>
        <w:adjustRightInd w:val="0"/>
        <w:snapToGrid w:val="0"/>
        <w:spacing w:line="400" w:lineRule="exact"/>
        <w:rPr>
          <w:rFonts w:ascii="宋体" w:hAnsi="宋体" w:cs="宋体"/>
          <w:color w:val="auto"/>
          <w:sz w:val="24"/>
          <w:highlight w:val="none"/>
          <w:u w:val="singl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6ED8B4DA">
      <w:pPr>
        <w:pStyle w:val="28"/>
        <w:adjustRightInd w:val="0"/>
        <w:snapToGrid w:val="0"/>
        <w:spacing w:line="400" w:lineRule="exact"/>
        <w:ind w:firstLine="567"/>
        <w:rPr>
          <w:rFonts w:ascii="宋体" w:hAnsi="宋体" w:cs="宋体"/>
          <w:color w:val="auto"/>
          <w:sz w:val="24"/>
          <w:szCs w:val="24"/>
          <w:highlight w:val="none"/>
        </w:rPr>
      </w:pPr>
      <w:r>
        <w:rPr>
          <w:rFonts w:hint="eastAsia" w:ascii="宋体" w:hAnsi="宋体" w:cs="宋体"/>
          <w:color w:val="auto"/>
          <w:sz w:val="24"/>
          <w:szCs w:val="24"/>
          <w:highlight w:val="none"/>
        </w:rPr>
        <w:t>1、根据已收到贵方的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的招标文件，并已详细审核了全部招标文件及有关附件。</w:t>
      </w:r>
    </w:p>
    <w:p w14:paraId="6951800E">
      <w:pPr>
        <w:pStyle w:val="28"/>
        <w:adjustRightInd w:val="0"/>
        <w:snapToGrid w:val="0"/>
        <w:spacing w:line="400" w:lineRule="exact"/>
        <w:ind w:firstLine="567"/>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2、遵照《中华人民共和国招标投标法》、《江苏省招标投标条例》等有关规定， 经考察现场和研究上述</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 xml:space="preserve">招标文件的条款后，我方承诺：愿以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的投标报价并按上述合同条款、标准和技术规范、实际图纸、实际工程量清单等要求承包上述</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的施工、竣工并修补其任何缺陷。</w:t>
      </w:r>
    </w:p>
    <w:p w14:paraId="556B35BF">
      <w:pPr>
        <w:pStyle w:val="28"/>
        <w:adjustRightInd w:val="0"/>
        <w:snapToGrid w:val="0"/>
        <w:spacing w:line="400" w:lineRule="exact"/>
        <w:ind w:firstLine="567"/>
        <w:rPr>
          <w:rFonts w:ascii="宋体" w:hAnsi="宋体" w:cs="宋体"/>
          <w:color w:val="auto"/>
          <w:sz w:val="24"/>
          <w:szCs w:val="24"/>
          <w:highlight w:val="none"/>
          <w:u w:val="single"/>
        </w:rPr>
      </w:pPr>
      <w:r>
        <w:rPr>
          <w:rFonts w:hint="eastAsia" w:ascii="宋体" w:hAnsi="宋体" w:cs="宋体"/>
          <w:color w:val="auto"/>
          <w:sz w:val="24"/>
          <w:szCs w:val="24"/>
          <w:highlight w:val="none"/>
        </w:rPr>
        <w:t>3、如果我方中标，我方保证按招标文件中规定的</w:t>
      </w:r>
      <w:r>
        <w:rPr>
          <w:rFonts w:hint="eastAsia" w:ascii="宋体" w:hAnsi="宋体" w:cs="宋体"/>
          <w:color w:val="auto"/>
          <w:sz w:val="24"/>
          <w:szCs w:val="24"/>
          <w:highlight w:val="none"/>
          <w:lang w:val="en-US" w:eastAsia="zh-CN"/>
        </w:rPr>
        <w:t>45个自然日完成</w:t>
      </w:r>
      <w:r>
        <w:rPr>
          <w:rFonts w:hint="eastAsia" w:ascii="宋体" w:hAnsi="宋体" w:cs="宋体"/>
          <w:color w:val="auto"/>
          <w:sz w:val="24"/>
          <w:szCs w:val="24"/>
          <w:highlight w:val="none"/>
        </w:rPr>
        <w:t>，质量标准达到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合格</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597DBF6">
      <w:pPr>
        <w:pStyle w:val="28"/>
        <w:adjustRightInd w:val="0"/>
        <w:snapToGrid w:val="0"/>
        <w:spacing w:line="400" w:lineRule="exact"/>
        <w:rPr>
          <w:rFonts w:ascii="宋体" w:hAnsi="宋体" w:cs="宋体"/>
          <w:color w:val="auto"/>
          <w:sz w:val="24"/>
          <w:szCs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5</w:t>
      </w:r>
      <w:r>
        <w:rPr>
          <w:rFonts w:hint="eastAsia" w:ascii="宋体" w:hAnsi="宋体" w:cs="宋体"/>
          <w:color w:val="auto"/>
          <w:sz w:val="24"/>
          <w:szCs w:val="24"/>
          <w:highlight w:val="none"/>
        </w:rPr>
        <w:t>、我方同意在自规定的开标日起</w:t>
      </w:r>
      <w:r>
        <w:rPr>
          <w:rFonts w:hint="eastAsia" w:ascii="宋体" w:hAnsi="宋体" w:cs="宋体"/>
          <w:color w:val="auto"/>
          <w:sz w:val="24"/>
          <w:szCs w:val="24"/>
          <w:highlight w:val="none"/>
          <w:u w:val="single"/>
        </w:rPr>
        <w:t>　60　</w:t>
      </w:r>
      <w:r>
        <w:rPr>
          <w:rFonts w:hint="eastAsia" w:ascii="宋体" w:hAnsi="宋体" w:cs="宋体"/>
          <w:color w:val="auto"/>
          <w:sz w:val="24"/>
          <w:szCs w:val="24"/>
          <w:highlight w:val="none"/>
        </w:rPr>
        <w:t>天的投标有效期内严格遵守本投标文件的各项承诺。在此期限届满之前，本投标文件始终对我方具有约束力，并随时接受中标。我方承诺在投标有效期内不修改、撤销投标文件。</w:t>
      </w:r>
    </w:p>
    <w:p w14:paraId="33ECB701">
      <w:pPr>
        <w:pStyle w:val="28"/>
        <w:adjustRightInd w:val="0"/>
        <w:snapToGrid w:val="0"/>
        <w:spacing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6、除非另外达成协议并生效，贵方的中标通知书和本投标文件将成为约束双方的合同文件的组成部分。</w:t>
      </w:r>
    </w:p>
    <w:p w14:paraId="1462BD52">
      <w:pPr>
        <w:pStyle w:val="28"/>
        <w:adjustRightInd w:val="0"/>
        <w:snapToGrid w:val="0"/>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7、如我方中标，我方承诺按招标文件要求缴纳代理费及评委费。</w:t>
      </w:r>
    </w:p>
    <w:p w14:paraId="17497380">
      <w:pPr>
        <w:pStyle w:val="28"/>
        <w:adjustRightInd w:val="0"/>
        <w:snapToGrid w:val="0"/>
        <w:spacing w:line="400" w:lineRule="exact"/>
        <w:ind w:firstLine="359"/>
        <w:rPr>
          <w:rFonts w:ascii="宋体" w:hAnsi="宋体" w:cs="宋体"/>
          <w:color w:val="auto"/>
          <w:sz w:val="24"/>
          <w:szCs w:val="24"/>
          <w:highlight w:val="none"/>
        </w:rPr>
      </w:pPr>
      <w:r>
        <w:rPr>
          <w:rFonts w:hint="eastAsia" w:ascii="宋体" w:hAnsi="宋体" w:cs="宋体"/>
          <w:color w:val="auto"/>
          <w:sz w:val="24"/>
          <w:szCs w:val="24"/>
          <w:highlight w:val="none"/>
        </w:rPr>
        <w:t>投标人 (盖章)：</w:t>
      </w:r>
      <w:r>
        <w:rPr>
          <w:rFonts w:hint="eastAsia" w:ascii="宋体" w:hAnsi="宋体" w:cs="宋体"/>
          <w:color w:val="auto"/>
          <w:sz w:val="24"/>
          <w:szCs w:val="24"/>
          <w:highlight w:val="none"/>
          <w:u w:val="single"/>
        </w:rPr>
        <w:t xml:space="preserve">                                                  </w:t>
      </w:r>
    </w:p>
    <w:p w14:paraId="3995DCA3">
      <w:pPr>
        <w:pStyle w:val="28"/>
        <w:adjustRightInd w:val="0"/>
        <w:snapToGrid w:val="0"/>
        <w:spacing w:line="400" w:lineRule="exact"/>
        <w:ind w:firstLine="359"/>
        <w:rPr>
          <w:rFonts w:ascii="宋体" w:hAnsi="宋体" w:cs="宋体"/>
          <w:color w:val="auto"/>
          <w:sz w:val="24"/>
          <w:szCs w:val="24"/>
          <w:highlight w:val="none"/>
        </w:rPr>
      </w:pPr>
    </w:p>
    <w:p w14:paraId="2C244B1A">
      <w:pPr>
        <w:pStyle w:val="28"/>
        <w:adjustRightInd w:val="0"/>
        <w:snapToGrid w:val="0"/>
        <w:spacing w:line="400" w:lineRule="exact"/>
        <w:ind w:firstLine="359"/>
        <w:rPr>
          <w:rFonts w:ascii="宋体" w:hAnsi="宋体" w:cs="宋体"/>
          <w:color w:val="auto"/>
          <w:sz w:val="24"/>
          <w:szCs w:val="24"/>
          <w:highlight w:val="none"/>
        </w:rPr>
      </w:pPr>
      <w:r>
        <w:rPr>
          <w:rFonts w:hint="eastAsia" w:ascii="宋体" w:hAnsi="宋体" w:cs="宋体"/>
          <w:color w:val="auto"/>
          <w:sz w:val="24"/>
          <w:szCs w:val="24"/>
          <w:highlight w:val="none"/>
        </w:rPr>
        <w:t>单位地址：</w:t>
      </w:r>
      <w:r>
        <w:rPr>
          <w:rFonts w:hint="eastAsia" w:ascii="宋体" w:hAnsi="宋体" w:cs="宋体"/>
          <w:color w:val="auto"/>
          <w:sz w:val="24"/>
          <w:szCs w:val="24"/>
          <w:highlight w:val="none"/>
          <w:u w:val="single"/>
        </w:rPr>
        <w:t xml:space="preserve">                                                       </w:t>
      </w:r>
    </w:p>
    <w:p w14:paraId="322A6B5F">
      <w:pPr>
        <w:pStyle w:val="28"/>
        <w:adjustRightInd w:val="0"/>
        <w:snapToGrid w:val="0"/>
        <w:spacing w:line="400" w:lineRule="exact"/>
        <w:ind w:firstLine="359"/>
        <w:rPr>
          <w:rFonts w:ascii="宋体" w:hAnsi="宋体" w:cs="宋体"/>
          <w:color w:val="auto"/>
          <w:sz w:val="24"/>
          <w:szCs w:val="24"/>
          <w:highlight w:val="none"/>
        </w:rPr>
      </w:pPr>
    </w:p>
    <w:p w14:paraId="337D0111">
      <w:pPr>
        <w:pStyle w:val="28"/>
        <w:adjustRightInd w:val="0"/>
        <w:snapToGrid w:val="0"/>
        <w:spacing w:line="400" w:lineRule="exact"/>
        <w:ind w:firstLine="359"/>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法定代表人或其受权委托人(</w:t>
      </w:r>
      <w:r>
        <w:rPr>
          <w:rFonts w:hint="eastAsia" w:ascii="宋体" w:hAnsi="宋体" w:cs="宋体"/>
          <w:color w:val="auto"/>
          <w:sz w:val="24"/>
          <w:szCs w:val="24"/>
          <w:highlight w:val="none"/>
        </w:rPr>
        <w:t>签字</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7560438E">
      <w:pPr>
        <w:pStyle w:val="28"/>
        <w:adjustRightInd w:val="0"/>
        <w:snapToGrid w:val="0"/>
        <w:spacing w:line="400" w:lineRule="exact"/>
        <w:ind w:firstLine="359"/>
        <w:rPr>
          <w:rFonts w:ascii="宋体" w:hAnsi="宋体" w:cs="宋体"/>
          <w:color w:val="auto"/>
          <w:sz w:val="24"/>
          <w:szCs w:val="24"/>
          <w:highlight w:val="none"/>
        </w:rPr>
      </w:pPr>
    </w:p>
    <w:p w14:paraId="05F55CAB">
      <w:pPr>
        <w:pStyle w:val="28"/>
        <w:adjustRightInd w:val="0"/>
        <w:snapToGrid w:val="0"/>
        <w:spacing w:line="400" w:lineRule="exact"/>
        <w:ind w:firstLine="359"/>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p>
    <w:p w14:paraId="7E87A2CF">
      <w:pPr>
        <w:pStyle w:val="28"/>
        <w:adjustRightInd w:val="0"/>
        <w:snapToGrid w:val="0"/>
        <w:spacing w:line="400" w:lineRule="exact"/>
        <w:ind w:right="480" w:firstLine="360" w:firstLineChars="150"/>
        <w:rPr>
          <w:rFonts w:ascii="宋体" w:hAnsi="宋体" w:cs="宋体"/>
          <w:color w:val="auto"/>
          <w:sz w:val="24"/>
          <w:szCs w:val="24"/>
          <w:highlight w:val="none"/>
        </w:rPr>
      </w:pPr>
    </w:p>
    <w:p w14:paraId="5C3482A7">
      <w:pPr>
        <w:pStyle w:val="28"/>
        <w:adjustRightInd w:val="0"/>
        <w:snapToGrid w:val="0"/>
        <w:spacing w:line="400" w:lineRule="exact"/>
        <w:ind w:right="480"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日</w:t>
      </w:r>
    </w:p>
    <w:p w14:paraId="73CC55EB">
      <w:pPr>
        <w:widowControl/>
        <w:spacing w:line="600" w:lineRule="exact"/>
        <w:rPr>
          <w:rFonts w:ascii="宋体" w:hAnsi="宋体" w:eastAsia="宋体" w:cs="宋体"/>
          <w:b/>
          <w:bCs/>
          <w:color w:val="auto"/>
          <w:kern w:val="44"/>
          <w:sz w:val="28"/>
          <w:szCs w:val="28"/>
          <w:highlight w:val="none"/>
        </w:rPr>
      </w:pPr>
    </w:p>
    <w:p w14:paraId="47B643BD">
      <w:pPr>
        <w:widowControl/>
        <w:spacing w:line="600" w:lineRule="exact"/>
        <w:rPr>
          <w:rFonts w:ascii="宋体" w:hAnsi="宋体" w:eastAsia="宋体" w:cs="宋体"/>
          <w:b/>
          <w:bCs/>
          <w:color w:val="auto"/>
          <w:kern w:val="44"/>
          <w:sz w:val="28"/>
          <w:szCs w:val="28"/>
          <w:highlight w:val="none"/>
        </w:rPr>
      </w:pPr>
    </w:p>
    <w:p w14:paraId="3FDD82D2">
      <w:pPr>
        <w:widowControl/>
        <w:spacing w:line="600" w:lineRule="exact"/>
        <w:rPr>
          <w:rFonts w:ascii="宋体" w:hAnsi="宋体" w:eastAsia="宋体" w:cs="宋体"/>
          <w:b/>
          <w:bCs/>
          <w:color w:val="auto"/>
          <w:kern w:val="44"/>
          <w:sz w:val="28"/>
          <w:szCs w:val="28"/>
          <w:highlight w:val="none"/>
        </w:rPr>
      </w:pPr>
    </w:p>
    <w:p w14:paraId="1EA58053">
      <w:pPr>
        <w:widowControl/>
        <w:spacing w:line="600" w:lineRule="exact"/>
        <w:rPr>
          <w:rFonts w:ascii="宋体" w:hAnsi="宋体" w:eastAsia="宋体" w:cs="宋体"/>
          <w:b/>
          <w:bCs/>
          <w:color w:val="auto"/>
          <w:kern w:val="44"/>
          <w:sz w:val="28"/>
          <w:szCs w:val="28"/>
          <w:highlight w:val="none"/>
        </w:rPr>
      </w:pPr>
    </w:p>
    <w:p w14:paraId="0DCE826D">
      <w:pPr>
        <w:widowControl/>
        <w:spacing w:line="600" w:lineRule="exact"/>
        <w:jc w:val="center"/>
        <w:rPr>
          <w:rFonts w:hint="eastAsia" w:ascii="宋体" w:hAnsi="宋体" w:eastAsia="宋体" w:cs="宋体"/>
          <w:b/>
          <w:bCs/>
          <w:color w:val="auto"/>
          <w:kern w:val="44"/>
          <w:sz w:val="28"/>
          <w:szCs w:val="28"/>
          <w:highlight w:val="none"/>
        </w:rPr>
      </w:pPr>
    </w:p>
    <w:p w14:paraId="71042F33">
      <w:pPr>
        <w:widowControl/>
        <w:spacing w:line="600" w:lineRule="exact"/>
        <w:jc w:val="center"/>
        <w:rPr>
          <w:rFonts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二、授权委托书</w:t>
      </w:r>
      <w:bookmarkEnd w:id="289"/>
    </w:p>
    <w:p w14:paraId="3D7A001B">
      <w:pPr>
        <w:spacing w:line="440" w:lineRule="exact"/>
        <w:rPr>
          <w:rFonts w:ascii="宋体" w:hAnsi="宋体" w:eastAsia="宋体" w:cs="宋体"/>
          <w:b/>
          <w:color w:val="auto"/>
          <w:sz w:val="24"/>
          <w:highlight w:val="none"/>
        </w:rPr>
      </w:pPr>
    </w:p>
    <w:p w14:paraId="37DE7F21">
      <w:pPr>
        <w:topLinePunct/>
        <w:spacing w:line="480" w:lineRule="auto"/>
        <w:ind w:firstLine="420" w:firstLineChars="200"/>
        <w:rPr>
          <w:rFonts w:ascii="宋体" w:hAnsi="宋体" w:eastAsia="宋体" w:cs="宋体"/>
          <w:color w:val="auto"/>
          <w:highlight w:val="none"/>
        </w:rPr>
      </w:pPr>
      <w:bookmarkStart w:id="294" w:name="_Toc275704016"/>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（投标人名称）的法定代表人，现委托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为我方代理人。代理人根据授权，以我方名义签署、澄清、说明、补正、递交、撤回、修改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（项目名称）施工投标文件、签订合同和处理有关事宜，其法律后果由我方承担。</w:t>
      </w:r>
      <w:bookmarkEnd w:id="294"/>
    </w:p>
    <w:p w14:paraId="06E4B59C">
      <w:pPr>
        <w:spacing w:line="480" w:lineRule="auto"/>
        <w:rPr>
          <w:rFonts w:ascii="宋体" w:hAnsi="宋体" w:eastAsia="宋体" w:cs="宋体"/>
          <w:color w:val="auto"/>
          <w:highlight w:val="none"/>
        </w:rPr>
      </w:pPr>
      <w:r>
        <w:rPr>
          <w:rFonts w:hint="eastAsia" w:ascii="宋体" w:hAnsi="宋体" w:eastAsia="宋体" w:cs="宋体"/>
          <w:color w:val="auto"/>
          <w:highlight w:val="none"/>
        </w:rPr>
        <w:t xml:space="preserve">    </w:t>
      </w:r>
      <w:bookmarkStart w:id="295" w:name="_Toc275704017"/>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bookmarkEnd w:id="295"/>
    </w:p>
    <w:p w14:paraId="266AC6EF">
      <w:pPr>
        <w:spacing w:line="480" w:lineRule="auto"/>
        <w:ind w:firstLine="420" w:firstLineChars="200"/>
        <w:rPr>
          <w:rFonts w:ascii="宋体" w:hAnsi="宋体" w:eastAsia="宋体" w:cs="宋体"/>
          <w:color w:val="auto"/>
          <w:highlight w:val="none"/>
        </w:rPr>
      </w:pPr>
      <w:bookmarkStart w:id="296" w:name="_Toc275704018"/>
      <w:r>
        <w:rPr>
          <w:rFonts w:hint="eastAsia" w:ascii="宋体" w:hAnsi="宋体" w:eastAsia="宋体" w:cs="宋体"/>
          <w:color w:val="auto"/>
          <w:highlight w:val="none"/>
        </w:rPr>
        <w:t>代理人无转委托权。</w:t>
      </w:r>
      <w:bookmarkEnd w:id="296"/>
    </w:p>
    <w:p w14:paraId="0D5176F6">
      <w:pPr>
        <w:spacing w:line="480" w:lineRule="auto"/>
        <w:ind w:firstLine="420" w:firstLineChars="200"/>
        <w:rPr>
          <w:rFonts w:ascii="宋体" w:hAnsi="宋体" w:eastAsia="宋体" w:cs="宋体"/>
          <w:color w:val="auto"/>
          <w:highlight w:val="none"/>
        </w:rPr>
      </w:pPr>
      <w:bookmarkStart w:id="297" w:name="_Toc275704019"/>
      <w:r>
        <w:rPr>
          <w:rFonts w:hint="eastAsia" w:ascii="宋体" w:hAnsi="宋体" w:eastAsia="宋体" w:cs="宋体"/>
          <w:color w:val="auto"/>
          <w:highlight w:val="none"/>
        </w:rPr>
        <w:t>附：</w:t>
      </w:r>
      <w:bookmarkEnd w:id="297"/>
      <w:r>
        <w:rPr>
          <w:rFonts w:hint="eastAsia" w:ascii="宋体" w:hAnsi="宋体" w:eastAsia="宋体" w:cs="宋体"/>
          <w:color w:val="auto"/>
          <w:highlight w:val="none"/>
        </w:rPr>
        <w:t>代理人身份证</w:t>
      </w:r>
    </w:p>
    <w:p w14:paraId="60ED2A90">
      <w:pPr>
        <w:spacing w:line="440" w:lineRule="exact"/>
        <w:rPr>
          <w:rFonts w:ascii="宋体" w:hAnsi="宋体" w:eastAsia="宋体" w:cs="宋体"/>
          <w:color w:val="auto"/>
          <w:highlight w:val="none"/>
        </w:rPr>
      </w:pPr>
    </w:p>
    <w:p w14:paraId="2749A7DD">
      <w:pPr>
        <w:spacing w:line="440" w:lineRule="exact"/>
        <w:rPr>
          <w:rFonts w:ascii="宋体" w:hAnsi="宋体" w:eastAsia="宋体" w:cs="宋体"/>
          <w:color w:val="auto"/>
          <w:highlight w:val="none"/>
        </w:rPr>
      </w:pPr>
      <w:bookmarkStart w:id="298" w:name="_Toc275704020"/>
      <w:r>
        <w:rPr>
          <w:rFonts w:hint="eastAsia" w:ascii="宋体" w:hAnsi="宋体" w:eastAsia="宋体" w:cs="宋体"/>
          <w:color w:val="auto"/>
          <w:highlight w:val="none"/>
        </w:rPr>
        <w:t xml:space="preserve">                          投标人：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bookmarkEnd w:id="298"/>
    </w:p>
    <w:p w14:paraId="1C16A4B0">
      <w:pPr>
        <w:spacing w:line="440" w:lineRule="exact"/>
        <w:jc w:val="right"/>
        <w:rPr>
          <w:rFonts w:ascii="宋体" w:hAnsi="宋体" w:eastAsia="宋体" w:cs="宋体"/>
          <w:color w:val="auto"/>
          <w:highlight w:val="none"/>
        </w:rPr>
      </w:pPr>
    </w:p>
    <w:p w14:paraId="545188B9">
      <w:pPr>
        <w:spacing w:line="440" w:lineRule="exact"/>
        <w:jc w:val="right"/>
        <w:rPr>
          <w:rFonts w:ascii="宋体" w:hAnsi="宋体" w:eastAsia="宋体" w:cs="宋体"/>
          <w:color w:val="auto"/>
          <w:highlight w:val="none"/>
        </w:rPr>
      </w:pPr>
      <w:bookmarkStart w:id="299" w:name="_Toc275704021"/>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bookmarkEnd w:id="299"/>
    </w:p>
    <w:p w14:paraId="6DD3490B">
      <w:pPr>
        <w:spacing w:line="440" w:lineRule="exact"/>
        <w:jc w:val="right"/>
        <w:rPr>
          <w:rFonts w:ascii="宋体" w:hAnsi="宋体" w:eastAsia="宋体" w:cs="宋体"/>
          <w:color w:val="auto"/>
          <w:highlight w:val="none"/>
        </w:rPr>
      </w:pPr>
    </w:p>
    <w:p w14:paraId="54A9ECCA">
      <w:pPr>
        <w:spacing w:line="440" w:lineRule="exact"/>
        <w:jc w:val="left"/>
        <w:rPr>
          <w:rFonts w:ascii="宋体" w:hAnsi="宋体" w:eastAsia="宋体" w:cs="宋体"/>
          <w:color w:val="auto"/>
          <w:highlight w:val="none"/>
        </w:rPr>
      </w:pPr>
      <w:r>
        <w:rPr>
          <w:rFonts w:hint="eastAsia" w:ascii="宋体" w:hAnsi="宋体" w:eastAsia="宋体" w:cs="宋体"/>
          <w:color w:val="auto"/>
          <w:highlight w:val="none"/>
        </w:rPr>
        <w:t xml:space="preserve">                       </w:t>
      </w:r>
      <w:bookmarkStart w:id="300" w:name="_Toc275704023"/>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bookmarkEnd w:id="300"/>
      <w:r>
        <w:rPr>
          <w:rFonts w:hint="eastAsia" w:ascii="宋体" w:hAnsi="宋体" w:eastAsia="宋体" w:cs="宋体"/>
          <w:color w:val="auto"/>
          <w:highlight w:val="none"/>
        </w:rPr>
        <w:t xml:space="preserve"> </w:t>
      </w:r>
    </w:p>
    <w:p w14:paraId="25AA1E7D">
      <w:pPr>
        <w:spacing w:line="440" w:lineRule="exact"/>
        <w:rPr>
          <w:rFonts w:ascii="宋体" w:hAnsi="宋体" w:eastAsia="宋体" w:cs="宋体"/>
          <w:color w:val="auto"/>
          <w:highlight w:val="none"/>
        </w:rPr>
      </w:pPr>
    </w:p>
    <w:p w14:paraId="35F4E519">
      <w:pPr>
        <w:spacing w:line="440" w:lineRule="exact"/>
        <w:jc w:val="left"/>
        <w:rPr>
          <w:rFonts w:ascii="宋体" w:hAnsi="宋体" w:eastAsia="宋体" w:cs="宋体"/>
          <w:color w:val="auto"/>
          <w:highlight w:val="none"/>
        </w:rPr>
      </w:pPr>
      <w:r>
        <w:rPr>
          <w:rFonts w:hint="eastAsia" w:ascii="宋体" w:hAnsi="宋体" w:eastAsia="宋体" w:cs="宋体"/>
          <w:color w:val="auto"/>
          <w:highlight w:val="none"/>
        </w:rPr>
        <w:t xml:space="preserve">                               </w:t>
      </w:r>
    </w:p>
    <w:p w14:paraId="3ABEC162">
      <w:pPr>
        <w:spacing w:line="440" w:lineRule="exact"/>
        <w:rPr>
          <w:rFonts w:ascii="宋体" w:hAnsi="宋体" w:eastAsia="宋体" w:cs="宋体"/>
          <w:color w:val="auto"/>
          <w:highlight w:val="none"/>
        </w:rPr>
      </w:pPr>
    </w:p>
    <w:p w14:paraId="358BE5B8">
      <w:pPr>
        <w:spacing w:line="440" w:lineRule="exact"/>
        <w:ind w:firstLine="2310" w:firstLineChars="1100"/>
        <w:jc w:val="right"/>
        <w:rPr>
          <w:rFonts w:ascii="宋体" w:hAnsi="宋体" w:eastAsia="宋体" w:cs="宋体"/>
          <w:color w:val="auto"/>
          <w:highlight w:val="none"/>
        </w:rPr>
      </w:pPr>
      <w:r>
        <w:rPr>
          <w:rFonts w:hint="eastAsia" w:ascii="宋体" w:hAnsi="宋体" w:eastAsia="宋体" w:cs="宋体"/>
          <w:color w:val="auto"/>
          <w:highlight w:val="none"/>
          <w:u w:val="single"/>
        </w:rPr>
        <w:t xml:space="preserve">      </w:t>
      </w:r>
      <w:bookmarkStart w:id="301" w:name="_Toc275704025"/>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bookmarkEnd w:id="301"/>
    </w:p>
    <w:p w14:paraId="6203E140">
      <w:pPr>
        <w:spacing w:line="440" w:lineRule="exact"/>
        <w:ind w:right="420"/>
        <w:rPr>
          <w:rFonts w:ascii="宋体" w:hAnsi="宋体" w:eastAsia="宋体" w:cs="宋体"/>
          <w:color w:val="auto"/>
          <w:highlight w:val="none"/>
        </w:rPr>
      </w:pPr>
    </w:p>
    <w:p w14:paraId="2B23EBDB">
      <w:pPr>
        <w:spacing w:line="440" w:lineRule="exact"/>
        <w:ind w:right="420"/>
        <w:rPr>
          <w:rFonts w:ascii="宋体" w:hAnsi="宋体" w:eastAsia="宋体" w:cs="宋体"/>
          <w:color w:val="auto"/>
          <w:highlight w:val="none"/>
        </w:rPr>
      </w:pPr>
    </w:p>
    <w:p w14:paraId="1296CBB9">
      <w:pPr>
        <w:spacing w:line="440" w:lineRule="exact"/>
        <w:ind w:right="420"/>
        <w:rPr>
          <w:rFonts w:ascii="宋体" w:hAnsi="宋体" w:eastAsia="宋体" w:cs="宋体"/>
          <w:color w:val="auto"/>
          <w:highlight w:val="none"/>
        </w:rPr>
      </w:pPr>
    </w:p>
    <w:p w14:paraId="560A052F">
      <w:pPr>
        <w:spacing w:line="440" w:lineRule="exact"/>
        <w:ind w:right="420"/>
        <w:rPr>
          <w:rFonts w:ascii="宋体" w:hAnsi="宋体" w:eastAsia="宋体" w:cs="宋体"/>
          <w:color w:val="auto"/>
          <w:highlight w:val="none"/>
        </w:rPr>
      </w:pPr>
      <w:r>
        <w:rPr>
          <w:rFonts w:hint="eastAsia" w:ascii="宋体" w:hAnsi="宋体" w:eastAsia="宋体" w:cs="宋体"/>
          <w:color w:val="auto"/>
          <w:highlight w:val="none"/>
        </w:rPr>
        <w:t xml:space="preserve"> </w:t>
      </w:r>
    </w:p>
    <w:p w14:paraId="14B7EA09">
      <w:pPr>
        <w:spacing w:line="440" w:lineRule="exact"/>
        <w:ind w:right="420"/>
        <w:rPr>
          <w:rFonts w:ascii="宋体" w:hAnsi="宋体" w:eastAsia="宋体" w:cs="宋体"/>
          <w:color w:val="auto"/>
          <w:highlight w:val="none"/>
        </w:rPr>
      </w:pPr>
    </w:p>
    <w:p w14:paraId="640F5B2F">
      <w:pPr>
        <w:spacing w:line="440" w:lineRule="exact"/>
        <w:ind w:right="420"/>
        <w:rPr>
          <w:rFonts w:ascii="宋体" w:hAnsi="宋体" w:eastAsia="宋体" w:cs="宋体"/>
          <w:color w:val="auto"/>
          <w:highlight w:val="none"/>
        </w:rPr>
      </w:pPr>
    </w:p>
    <w:p w14:paraId="1B4A07CC">
      <w:pPr>
        <w:spacing w:line="360" w:lineRule="auto"/>
        <w:rPr>
          <w:rFonts w:ascii="宋体" w:hAnsi="宋体" w:cs="宋体"/>
          <w:b/>
          <w:color w:val="auto"/>
          <w:sz w:val="32"/>
          <w:szCs w:val="32"/>
          <w:highlight w:val="none"/>
        </w:rPr>
      </w:pPr>
    </w:p>
    <w:p w14:paraId="29722D70">
      <w:pPr>
        <w:pStyle w:val="51"/>
        <w:rPr>
          <w:color w:val="auto"/>
          <w:highlight w:val="none"/>
        </w:rPr>
      </w:pPr>
    </w:p>
    <w:p w14:paraId="483F7E4D">
      <w:pPr>
        <w:spacing w:line="360" w:lineRule="auto"/>
        <w:jc w:val="center"/>
        <w:rPr>
          <w:rFonts w:ascii="宋体" w:hAnsi="宋体" w:eastAsia="宋体" w:cs="宋体"/>
          <w:b/>
          <w:color w:val="auto"/>
          <w:sz w:val="32"/>
          <w:szCs w:val="32"/>
          <w:highlight w:val="none"/>
        </w:rPr>
      </w:pPr>
      <w:r>
        <w:rPr>
          <w:rFonts w:hint="eastAsia" w:ascii="宋体" w:hAnsi="宋体" w:cs="宋体"/>
          <w:b/>
          <w:color w:val="auto"/>
          <w:sz w:val="32"/>
          <w:szCs w:val="32"/>
          <w:highlight w:val="none"/>
        </w:rPr>
        <w:t>三、法定代表人身份证明</w:t>
      </w:r>
    </w:p>
    <w:p w14:paraId="464533CB">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投标人：</w:t>
      </w:r>
    </w:p>
    <w:p w14:paraId="1807B14A">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单位性质：</w:t>
      </w:r>
    </w:p>
    <w:p w14:paraId="5542D57C">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p>
    <w:p w14:paraId="6830111B">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成立时间：</w:t>
      </w:r>
    </w:p>
    <w:p w14:paraId="0B2BDF07">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经营期限：</w:t>
      </w:r>
    </w:p>
    <w:p w14:paraId="086D9FAC">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姓名：职务：</w:t>
      </w:r>
    </w:p>
    <w:p w14:paraId="60148365">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 xml:space="preserve">系  </w:t>
      </w:r>
      <w:r>
        <w:rPr>
          <w:rFonts w:hint="eastAsia" w:ascii="宋体" w:hAnsi="宋体" w:cs="宋体"/>
          <w:color w:val="auto"/>
          <w:sz w:val="24"/>
          <w:szCs w:val="24"/>
          <w:highlight w:val="none"/>
          <w:u w:val="single"/>
        </w:rPr>
        <w:t>（投标人）</w:t>
      </w:r>
      <w:r>
        <w:rPr>
          <w:rFonts w:hint="eastAsia" w:ascii="宋体" w:hAnsi="宋体" w:cs="宋体"/>
          <w:color w:val="auto"/>
          <w:sz w:val="24"/>
          <w:szCs w:val="24"/>
          <w:highlight w:val="none"/>
        </w:rPr>
        <w:t>的法定代表人。</w:t>
      </w:r>
    </w:p>
    <w:p w14:paraId="4D661C36">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1D777865">
      <w:pPr>
        <w:spacing w:line="360" w:lineRule="auto"/>
        <w:ind w:firstLine="480"/>
        <w:rPr>
          <w:rFonts w:ascii="宋体" w:hAnsi="宋体" w:cs="宋体"/>
          <w:color w:val="auto"/>
          <w:sz w:val="24"/>
          <w:szCs w:val="24"/>
          <w:highlight w:val="none"/>
        </w:rPr>
      </w:pPr>
    </w:p>
    <w:p w14:paraId="73B28DBC">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附法人身份证</w:t>
      </w:r>
    </w:p>
    <w:p w14:paraId="79062FD0">
      <w:pPr>
        <w:pStyle w:val="2"/>
        <w:ind w:firstLine="420"/>
        <w:rPr>
          <w:color w:val="auto"/>
          <w:highlight w:val="none"/>
          <w:lang w:val="en-US"/>
        </w:rPr>
      </w:pPr>
    </w:p>
    <w:p w14:paraId="2689E25D">
      <w:pPr>
        <w:pStyle w:val="2"/>
        <w:ind w:firstLine="420"/>
        <w:rPr>
          <w:color w:val="auto"/>
          <w:highlight w:val="none"/>
          <w:lang w:val="en-US"/>
        </w:rPr>
      </w:pPr>
    </w:p>
    <w:p w14:paraId="5F9B8219">
      <w:pPr>
        <w:pStyle w:val="2"/>
        <w:ind w:firstLine="420"/>
        <w:rPr>
          <w:color w:val="auto"/>
          <w:highlight w:val="none"/>
          <w:lang w:val="en-US"/>
        </w:rPr>
      </w:pPr>
    </w:p>
    <w:p w14:paraId="024582C4">
      <w:pPr>
        <w:pStyle w:val="2"/>
        <w:ind w:firstLine="420"/>
        <w:rPr>
          <w:color w:val="auto"/>
          <w:highlight w:val="none"/>
          <w:lang w:val="en-US"/>
        </w:rPr>
      </w:pPr>
    </w:p>
    <w:p w14:paraId="253BB803">
      <w:pPr>
        <w:pStyle w:val="2"/>
        <w:ind w:firstLine="420"/>
        <w:rPr>
          <w:color w:val="auto"/>
          <w:highlight w:val="none"/>
          <w:lang w:val="en-US"/>
        </w:rPr>
      </w:pPr>
    </w:p>
    <w:p w14:paraId="57346AE8">
      <w:pPr>
        <w:pStyle w:val="2"/>
        <w:ind w:firstLine="420"/>
        <w:rPr>
          <w:color w:val="auto"/>
          <w:highlight w:val="none"/>
          <w:lang w:val="en-US"/>
        </w:rPr>
      </w:pPr>
    </w:p>
    <w:p w14:paraId="00251056">
      <w:pPr>
        <w:pStyle w:val="2"/>
        <w:ind w:firstLine="420"/>
        <w:rPr>
          <w:color w:val="auto"/>
          <w:highlight w:val="none"/>
          <w:lang w:val="en-US"/>
        </w:rPr>
      </w:pPr>
    </w:p>
    <w:p w14:paraId="3488DADC">
      <w:pPr>
        <w:pStyle w:val="2"/>
        <w:ind w:firstLine="420"/>
        <w:rPr>
          <w:color w:val="auto"/>
          <w:highlight w:val="none"/>
          <w:lang w:val="en-US"/>
        </w:rPr>
      </w:pPr>
    </w:p>
    <w:p w14:paraId="38B0E44C">
      <w:pPr>
        <w:pStyle w:val="2"/>
        <w:ind w:firstLine="420"/>
        <w:rPr>
          <w:color w:val="auto"/>
          <w:highlight w:val="none"/>
          <w:lang w:val="en-US"/>
        </w:rPr>
      </w:pPr>
    </w:p>
    <w:p w14:paraId="32B0EEC1">
      <w:pPr>
        <w:pStyle w:val="2"/>
        <w:ind w:firstLine="0" w:firstLineChars="0"/>
        <w:rPr>
          <w:color w:val="auto"/>
          <w:highlight w:val="none"/>
          <w:lang w:val="en-US"/>
        </w:rPr>
      </w:pPr>
    </w:p>
    <w:p w14:paraId="6B54BCC9">
      <w:pPr>
        <w:spacing w:line="360" w:lineRule="auto"/>
        <w:ind w:firstLine="480"/>
        <w:jc w:val="right"/>
        <w:rPr>
          <w:rFonts w:ascii="宋体" w:hAnsi="宋体" w:cs="宋体"/>
          <w:color w:val="auto"/>
          <w:sz w:val="24"/>
          <w:szCs w:val="24"/>
          <w:highlight w:val="none"/>
        </w:rPr>
      </w:pPr>
    </w:p>
    <w:p w14:paraId="74198922">
      <w:pPr>
        <w:spacing w:line="360" w:lineRule="auto"/>
        <w:ind w:right="480" w:firstLine="6120" w:firstLineChars="2550"/>
        <w:rPr>
          <w:rFonts w:ascii="宋体" w:hAnsi="宋体" w:cs="宋体"/>
          <w:color w:val="auto"/>
          <w:sz w:val="24"/>
          <w:szCs w:val="24"/>
          <w:highlight w:val="none"/>
          <w:u w:val="single"/>
        </w:rPr>
      </w:pPr>
      <w:r>
        <w:rPr>
          <w:rFonts w:hint="eastAsia" w:ascii="宋体" w:hAnsi="宋体" w:cs="宋体"/>
          <w:color w:val="auto"/>
          <w:sz w:val="24"/>
          <w:szCs w:val="24"/>
          <w:highlight w:val="none"/>
        </w:rPr>
        <w:t>投标人（公章）：</w:t>
      </w:r>
    </w:p>
    <w:p w14:paraId="40D534DB">
      <w:pPr>
        <w:spacing w:line="360" w:lineRule="auto"/>
        <w:ind w:right="480" w:firstLine="6120" w:firstLineChars="2550"/>
        <w:rPr>
          <w:rFonts w:ascii="宋体" w:hAnsi="宋体" w:cs="宋体"/>
          <w:color w:val="auto"/>
          <w:sz w:val="24"/>
          <w:szCs w:val="24"/>
          <w:highlight w:val="none"/>
          <w:u w:val="single"/>
        </w:rPr>
      </w:pPr>
      <w:r>
        <w:rPr>
          <w:rFonts w:hint="eastAsia" w:ascii="宋体" w:hAnsi="宋体" w:cs="宋体"/>
          <w:color w:val="auto"/>
          <w:sz w:val="24"/>
          <w:szCs w:val="24"/>
          <w:highlight w:val="none"/>
        </w:rPr>
        <w:t>日期：</w:t>
      </w:r>
    </w:p>
    <w:p w14:paraId="013A9B6D">
      <w:pPr>
        <w:spacing w:line="440" w:lineRule="exact"/>
        <w:ind w:right="420"/>
        <w:rPr>
          <w:rFonts w:ascii="宋体" w:hAnsi="宋体" w:eastAsia="宋体" w:cs="宋体"/>
          <w:color w:val="auto"/>
          <w:highlight w:val="none"/>
        </w:rPr>
      </w:pPr>
    </w:p>
    <w:p w14:paraId="77BC6359">
      <w:pPr>
        <w:spacing w:line="440" w:lineRule="exact"/>
        <w:ind w:right="420"/>
        <w:rPr>
          <w:rFonts w:ascii="宋体" w:hAnsi="宋体" w:eastAsia="宋体" w:cs="宋体"/>
          <w:color w:val="auto"/>
          <w:highlight w:val="none"/>
        </w:rPr>
      </w:pPr>
    </w:p>
    <w:p w14:paraId="48D73791">
      <w:pPr>
        <w:spacing w:line="440" w:lineRule="exact"/>
        <w:ind w:right="420"/>
        <w:rPr>
          <w:rFonts w:ascii="宋体" w:hAnsi="宋体" w:eastAsia="宋体" w:cs="宋体"/>
          <w:color w:val="auto"/>
          <w:highlight w:val="none"/>
        </w:rPr>
      </w:pPr>
    </w:p>
    <w:bookmarkEnd w:id="272"/>
    <w:bookmarkEnd w:id="273"/>
    <w:bookmarkEnd w:id="274"/>
    <w:bookmarkEnd w:id="275"/>
    <w:bookmarkEnd w:id="276"/>
    <w:bookmarkEnd w:id="277"/>
    <w:bookmarkEnd w:id="278"/>
    <w:bookmarkEnd w:id="290"/>
    <w:bookmarkEnd w:id="291"/>
    <w:bookmarkEnd w:id="292"/>
    <w:bookmarkEnd w:id="293"/>
    <w:p w14:paraId="7918544B">
      <w:pPr>
        <w:pStyle w:val="2"/>
        <w:ind w:left="0" w:leftChars="0" w:firstLine="0" w:firstLineChars="0"/>
        <w:rPr>
          <w:color w:val="auto"/>
          <w:highlight w:val="none"/>
          <w:lang w:val="en-US"/>
        </w:rPr>
      </w:pPr>
    </w:p>
    <w:p w14:paraId="0CDE19AB">
      <w:pPr>
        <w:pStyle w:val="2"/>
        <w:ind w:firstLine="0" w:firstLineChars="0"/>
        <w:rPr>
          <w:color w:val="auto"/>
          <w:highlight w:val="none"/>
          <w:lang w:val="en-US"/>
        </w:rPr>
      </w:pPr>
    </w:p>
    <w:p w14:paraId="3F0EEC17">
      <w:pPr>
        <w:snapToGrid w:val="0"/>
        <w:spacing w:line="460" w:lineRule="exact"/>
        <w:jc w:val="center"/>
        <w:rPr>
          <w:rFonts w:asciiTheme="minorEastAsia" w:hAnsiTheme="minorEastAsia" w:cstheme="minorEastAsia"/>
          <w:b/>
          <w:bCs/>
          <w:color w:val="auto"/>
          <w:sz w:val="28"/>
          <w:szCs w:val="28"/>
          <w:highlight w:val="none"/>
        </w:rPr>
      </w:pPr>
      <w:bookmarkStart w:id="302" w:name="_Toc302967427"/>
      <w:r>
        <w:rPr>
          <w:rFonts w:hint="eastAsia" w:asciiTheme="minorEastAsia" w:hAnsiTheme="minorEastAsia" w:cstheme="minorEastAsia"/>
          <w:b/>
          <w:bCs/>
          <w:color w:val="auto"/>
          <w:sz w:val="28"/>
          <w:szCs w:val="28"/>
          <w:highlight w:val="none"/>
          <w:lang w:val="en-US" w:eastAsia="zh-CN"/>
        </w:rPr>
        <w:t>四</w:t>
      </w:r>
      <w:r>
        <w:rPr>
          <w:rFonts w:hint="eastAsia" w:asciiTheme="minorEastAsia" w:hAnsiTheme="minorEastAsia" w:cstheme="minorEastAsia"/>
          <w:b/>
          <w:bCs/>
          <w:color w:val="auto"/>
          <w:sz w:val="28"/>
          <w:szCs w:val="28"/>
          <w:highlight w:val="none"/>
        </w:rPr>
        <w:t>、开标一览表</w:t>
      </w:r>
      <w:bookmarkEnd w:id="302"/>
    </w:p>
    <w:p w14:paraId="4F53B85F">
      <w:pPr>
        <w:snapToGrid w:val="0"/>
        <w:spacing w:line="460" w:lineRule="exact"/>
        <w:jc w:val="center"/>
        <w:rPr>
          <w:rFonts w:asciiTheme="minorEastAsia" w:hAnsiTheme="minorEastAsia" w:cstheme="minorEastAsia"/>
          <w:b/>
          <w:bCs/>
          <w:color w:val="auto"/>
          <w:sz w:val="28"/>
          <w:szCs w:val="28"/>
          <w:highlight w:val="none"/>
        </w:rPr>
      </w:pPr>
    </w:p>
    <w:tbl>
      <w:tblPr>
        <w:tblStyle w:val="53"/>
        <w:tblW w:w="828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6221"/>
      </w:tblGrid>
      <w:tr w14:paraId="1553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2065" w:type="dxa"/>
            <w:vAlign w:val="center"/>
          </w:tcPr>
          <w:p w14:paraId="5AA30665">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项目名称</w:t>
            </w:r>
          </w:p>
        </w:tc>
        <w:tc>
          <w:tcPr>
            <w:tcW w:w="6221" w:type="dxa"/>
            <w:vAlign w:val="center"/>
          </w:tcPr>
          <w:p w14:paraId="29594FB0">
            <w:pPr>
              <w:rPr>
                <w:rFonts w:asciiTheme="minorEastAsia" w:hAnsiTheme="minorEastAsia" w:cstheme="minorEastAsia"/>
                <w:color w:val="auto"/>
                <w:sz w:val="24"/>
                <w:highlight w:val="none"/>
              </w:rPr>
            </w:pPr>
          </w:p>
        </w:tc>
      </w:tr>
      <w:tr w14:paraId="521A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065" w:type="dxa"/>
            <w:vAlign w:val="center"/>
          </w:tcPr>
          <w:p w14:paraId="453A947E">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w:t>
            </w:r>
            <w:r>
              <w:rPr>
                <w:rFonts w:hint="eastAsia" w:asciiTheme="minorEastAsia" w:hAnsiTheme="minorEastAsia" w:cstheme="minorEastAsia"/>
                <w:color w:val="auto"/>
                <w:sz w:val="24"/>
                <w:highlight w:val="none"/>
                <w:lang w:val="en-US" w:eastAsia="zh-CN"/>
              </w:rPr>
              <w:t>价格</w:t>
            </w:r>
          </w:p>
        </w:tc>
        <w:tc>
          <w:tcPr>
            <w:tcW w:w="6221" w:type="dxa"/>
            <w:tcBorders>
              <w:bottom w:val="single" w:color="auto" w:sz="4" w:space="0"/>
            </w:tcBorders>
            <w:vAlign w:val="center"/>
          </w:tcPr>
          <w:p w14:paraId="5C135FD5">
            <w:pPr>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 xml:space="preserve"> </w:t>
            </w:r>
          </w:p>
        </w:tc>
      </w:tr>
      <w:tr w14:paraId="4678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065" w:type="dxa"/>
            <w:vAlign w:val="center"/>
          </w:tcPr>
          <w:p w14:paraId="7CB23730">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cstheme="minorEastAsia"/>
                <w:color w:val="auto"/>
                <w:sz w:val="24"/>
                <w:highlight w:val="none"/>
                <w:lang w:val="en-US" w:eastAsia="zh-CN"/>
              </w:rPr>
              <w:t>质量</w:t>
            </w:r>
          </w:p>
        </w:tc>
        <w:tc>
          <w:tcPr>
            <w:tcW w:w="6221" w:type="dxa"/>
            <w:tcBorders>
              <w:bottom w:val="single" w:color="auto" w:sz="4" w:space="0"/>
            </w:tcBorders>
            <w:vAlign w:val="center"/>
          </w:tcPr>
          <w:p w14:paraId="2531B887">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合格</w:t>
            </w:r>
          </w:p>
        </w:tc>
      </w:tr>
      <w:tr w14:paraId="2ADD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065" w:type="dxa"/>
            <w:vAlign w:val="center"/>
          </w:tcPr>
          <w:p w14:paraId="55ED6E1E">
            <w:pPr>
              <w:jc w:val="center"/>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设计期</w:t>
            </w:r>
          </w:p>
        </w:tc>
        <w:tc>
          <w:tcPr>
            <w:tcW w:w="6221" w:type="dxa"/>
            <w:tcBorders>
              <w:bottom w:val="single" w:color="auto" w:sz="4" w:space="0"/>
            </w:tcBorders>
            <w:vAlign w:val="center"/>
          </w:tcPr>
          <w:p w14:paraId="0813420B">
            <w:pPr>
              <w:rPr>
                <w:rFonts w:hint="eastAsia" w:asciiTheme="minorEastAsia" w:hAnsiTheme="minorEastAsia" w:cstheme="minorEastAsia"/>
                <w:color w:val="auto"/>
                <w:sz w:val="24"/>
                <w:highlight w:val="none"/>
              </w:rPr>
            </w:pPr>
          </w:p>
        </w:tc>
      </w:tr>
      <w:tr w14:paraId="3336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065" w:type="dxa"/>
            <w:vAlign w:val="center"/>
          </w:tcPr>
          <w:p w14:paraId="3F2AF03A">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标书份数</w:t>
            </w:r>
          </w:p>
        </w:tc>
        <w:tc>
          <w:tcPr>
            <w:tcW w:w="6221" w:type="dxa"/>
            <w:vAlign w:val="center"/>
          </w:tcPr>
          <w:p w14:paraId="5E0C081A">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正本：1份     副本：2份</w:t>
            </w:r>
          </w:p>
        </w:tc>
      </w:tr>
      <w:tr w14:paraId="05A6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65" w:type="dxa"/>
            <w:vAlign w:val="center"/>
          </w:tcPr>
          <w:p w14:paraId="7BF61D30">
            <w:pPr>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    注</w:t>
            </w:r>
          </w:p>
        </w:tc>
        <w:tc>
          <w:tcPr>
            <w:tcW w:w="6221" w:type="dxa"/>
            <w:vAlign w:val="center"/>
          </w:tcPr>
          <w:p w14:paraId="0AD35B0B">
            <w:pPr>
              <w:rPr>
                <w:rFonts w:asciiTheme="minorEastAsia" w:hAnsiTheme="minorEastAsia" w:cstheme="minorEastAsia"/>
                <w:color w:val="auto"/>
                <w:sz w:val="24"/>
                <w:highlight w:val="none"/>
              </w:rPr>
            </w:pPr>
          </w:p>
        </w:tc>
      </w:tr>
    </w:tbl>
    <w:p w14:paraId="49BBBDD7">
      <w:pPr>
        <w:jc w:val="center"/>
        <w:rPr>
          <w:rFonts w:asciiTheme="minorEastAsia" w:hAnsiTheme="minorEastAsia" w:cstheme="minorEastAsia"/>
          <w:color w:val="auto"/>
          <w:szCs w:val="21"/>
          <w:highlight w:val="none"/>
        </w:rPr>
      </w:pPr>
    </w:p>
    <w:p w14:paraId="5EDE76D1">
      <w:pPr>
        <w:rPr>
          <w:rFonts w:asciiTheme="minorEastAsia" w:hAnsiTheme="minorEastAsia" w:cstheme="minorEastAsia"/>
          <w:bCs/>
          <w:color w:val="auto"/>
          <w:sz w:val="24"/>
          <w:highlight w:val="none"/>
          <w:u w:val="single"/>
        </w:rPr>
      </w:pPr>
      <w:r>
        <w:rPr>
          <w:rFonts w:hint="eastAsia" w:asciiTheme="minorEastAsia" w:hAnsiTheme="minorEastAsia" w:cstheme="minorEastAsia"/>
          <w:bCs/>
          <w:color w:val="auto"/>
          <w:sz w:val="24"/>
          <w:highlight w:val="none"/>
        </w:rPr>
        <w:t>投标人名称（盖公章）：</w:t>
      </w:r>
      <w:r>
        <w:rPr>
          <w:rFonts w:hint="eastAsia" w:asciiTheme="minorEastAsia" w:hAnsiTheme="minorEastAsia" w:cstheme="minorEastAsia"/>
          <w:bCs/>
          <w:color w:val="auto"/>
          <w:sz w:val="24"/>
          <w:highlight w:val="none"/>
          <w:u w:val="single"/>
        </w:rPr>
        <w:t xml:space="preserve"> </w:t>
      </w:r>
      <w:r>
        <w:rPr>
          <w:rFonts w:asciiTheme="minorEastAsia" w:hAnsiTheme="minorEastAsia" w:cstheme="minorEastAsia"/>
          <w:bCs/>
          <w:color w:val="auto"/>
          <w:sz w:val="24"/>
          <w:highlight w:val="none"/>
          <w:u w:val="single"/>
        </w:rPr>
        <w:t xml:space="preserve">                         </w:t>
      </w:r>
    </w:p>
    <w:p w14:paraId="6972A5C9">
      <w:pP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投标人法定代表人或被授权代表：（签字）</w:t>
      </w:r>
      <w:r>
        <w:rPr>
          <w:rFonts w:hint="eastAsia" w:asciiTheme="minorEastAsia" w:hAnsiTheme="minorEastAsia" w:cstheme="minorEastAsia"/>
          <w:color w:val="auto"/>
          <w:sz w:val="24"/>
          <w:highlight w:val="none"/>
          <w:u w:val="single"/>
        </w:rPr>
        <w:t xml:space="preserve">             </w:t>
      </w:r>
    </w:p>
    <w:p w14:paraId="36845020">
      <w:pPr>
        <w:rPr>
          <w:color w:val="auto"/>
          <w:highlight w:val="none"/>
          <w:lang w:val="en-US"/>
        </w:rPr>
      </w:pPr>
      <w:r>
        <w:rPr>
          <w:rFonts w:hint="eastAsia" w:asciiTheme="minorEastAsia" w:hAnsiTheme="minorEastAsia" w:cstheme="minorEastAsia"/>
          <w:color w:val="auto"/>
          <w:sz w:val="24"/>
          <w:highlight w:val="none"/>
        </w:rPr>
        <w:t>时间：</w:t>
      </w:r>
      <w:r>
        <w:rPr>
          <w:rFonts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年</w:t>
      </w:r>
      <w:r>
        <w:rPr>
          <w:rFonts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月</w:t>
      </w:r>
      <w:r>
        <w:rPr>
          <w:rFonts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7F" w:usb3="00000000" w:csb0="203F01FF" w:csb1="D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AE91E">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D09BC">
                          <w:pPr>
                            <w:pStyle w:val="35"/>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7D09BC">
                    <w:pPr>
                      <w:pStyle w:val="3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6E0BE"/>
    <w:multiLevelType w:val="singleLevel"/>
    <w:tmpl w:val="89F6E0BE"/>
    <w:lvl w:ilvl="0" w:tentative="0">
      <w:start w:val="3"/>
      <w:numFmt w:val="chineseCounting"/>
      <w:suff w:val="nothing"/>
      <w:lvlText w:val="%1、"/>
      <w:lvlJc w:val="left"/>
      <w:rPr>
        <w:rFonts w:hint="eastAsia"/>
      </w:rPr>
    </w:lvl>
  </w:abstractNum>
  <w:abstractNum w:abstractNumId="1">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7DB1523A"/>
    <w:multiLevelType w:val="multilevel"/>
    <w:tmpl w:val="7DB1523A"/>
    <w:lvl w:ilvl="0" w:tentative="0">
      <w:start w:val="1"/>
      <w:numFmt w:val="bullet"/>
      <w:lvlText w:val=""/>
      <w:lvlJc w:val="left"/>
      <w:pPr>
        <w:ind w:left="27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1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9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62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34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06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7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5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226"/>
      </w:pPr>
      <w:rPr>
        <w:rFonts w:ascii="Wingdings 2" w:hAnsi="Wingdings 2" w:eastAsia="Wingdings 2" w:cs="Wingdings 2"/>
        <w:b w:val="0"/>
        <w:i w:val="0"/>
        <w:strike w:val="0"/>
        <w:dstrike w:val="0"/>
        <w:color w:val="000000"/>
        <w:sz w:val="21"/>
        <w:szCs w:val="21"/>
        <w:u w:val="none" w:color="000000"/>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5ZjI5NGNhODlhOWFkYTNkNWYxOWYzMmQ1ODc4YWMifQ=="/>
  </w:docVars>
  <w:rsids>
    <w:rsidRoot w:val="001C7B96"/>
    <w:rsid w:val="00023A3C"/>
    <w:rsid w:val="00082A0D"/>
    <w:rsid w:val="000C1068"/>
    <w:rsid w:val="000C3C9E"/>
    <w:rsid w:val="000E0F37"/>
    <w:rsid w:val="000E19D9"/>
    <w:rsid w:val="000E3C77"/>
    <w:rsid w:val="000F1F4B"/>
    <w:rsid w:val="000F296C"/>
    <w:rsid w:val="00107FB0"/>
    <w:rsid w:val="00111202"/>
    <w:rsid w:val="00134133"/>
    <w:rsid w:val="00135513"/>
    <w:rsid w:val="0014446E"/>
    <w:rsid w:val="00147F22"/>
    <w:rsid w:val="00175308"/>
    <w:rsid w:val="001901EE"/>
    <w:rsid w:val="001C7B96"/>
    <w:rsid w:val="001F7E2A"/>
    <w:rsid w:val="00201E87"/>
    <w:rsid w:val="00215C23"/>
    <w:rsid w:val="00224581"/>
    <w:rsid w:val="00225013"/>
    <w:rsid w:val="0023095D"/>
    <w:rsid w:val="0025650B"/>
    <w:rsid w:val="00257C34"/>
    <w:rsid w:val="002612F8"/>
    <w:rsid w:val="002A61A2"/>
    <w:rsid w:val="002B0240"/>
    <w:rsid w:val="002D54F3"/>
    <w:rsid w:val="00307B6A"/>
    <w:rsid w:val="00315D0E"/>
    <w:rsid w:val="00323905"/>
    <w:rsid w:val="00355807"/>
    <w:rsid w:val="00357B09"/>
    <w:rsid w:val="003634E7"/>
    <w:rsid w:val="00374896"/>
    <w:rsid w:val="003827EB"/>
    <w:rsid w:val="003A0737"/>
    <w:rsid w:val="003D27B9"/>
    <w:rsid w:val="003E1525"/>
    <w:rsid w:val="003F1173"/>
    <w:rsid w:val="0041121E"/>
    <w:rsid w:val="00411660"/>
    <w:rsid w:val="00447A35"/>
    <w:rsid w:val="004811BE"/>
    <w:rsid w:val="004967B9"/>
    <w:rsid w:val="004D62EC"/>
    <w:rsid w:val="0050573A"/>
    <w:rsid w:val="00537148"/>
    <w:rsid w:val="005414C0"/>
    <w:rsid w:val="00546CDC"/>
    <w:rsid w:val="005574FC"/>
    <w:rsid w:val="00564503"/>
    <w:rsid w:val="00582ED9"/>
    <w:rsid w:val="005A7208"/>
    <w:rsid w:val="005B2CBF"/>
    <w:rsid w:val="005E1C7F"/>
    <w:rsid w:val="005F0578"/>
    <w:rsid w:val="005F0CE3"/>
    <w:rsid w:val="00610D88"/>
    <w:rsid w:val="00621450"/>
    <w:rsid w:val="00624048"/>
    <w:rsid w:val="006356B6"/>
    <w:rsid w:val="00637533"/>
    <w:rsid w:val="00646494"/>
    <w:rsid w:val="006641D9"/>
    <w:rsid w:val="00691710"/>
    <w:rsid w:val="00694ACC"/>
    <w:rsid w:val="006954BE"/>
    <w:rsid w:val="006B20D8"/>
    <w:rsid w:val="006E1471"/>
    <w:rsid w:val="006E4304"/>
    <w:rsid w:val="00704706"/>
    <w:rsid w:val="00745A4B"/>
    <w:rsid w:val="0077311D"/>
    <w:rsid w:val="007C11A5"/>
    <w:rsid w:val="007D5DBF"/>
    <w:rsid w:val="00800492"/>
    <w:rsid w:val="00805B6C"/>
    <w:rsid w:val="008337B6"/>
    <w:rsid w:val="008356C4"/>
    <w:rsid w:val="00861D7A"/>
    <w:rsid w:val="00866876"/>
    <w:rsid w:val="008C0FB3"/>
    <w:rsid w:val="008C1462"/>
    <w:rsid w:val="008C1C07"/>
    <w:rsid w:val="008D0694"/>
    <w:rsid w:val="009045F9"/>
    <w:rsid w:val="00907090"/>
    <w:rsid w:val="009123D8"/>
    <w:rsid w:val="00912D2E"/>
    <w:rsid w:val="00933F5B"/>
    <w:rsid w:val="00944CF8"/>
    <w:rsid w:val="00945053"/>
    <w:rsid w:val="00974F0C"/>
    <w:rsid w:val="009853F3"/>
    <w:rsid w:val="009B316C"/>
    <w:rsid w:val="009D1F3F"/>
    <w:rsid w:val="009E61CF"/>
    <w:rsid w:val="009E78B5"/>
    <w:rsid w:val="00A01036"/>
    <w:rsid w:val="00A0353A"/>
    <w:rsid w:val="00A92030"/>
    <w:rsid w:val="00AA7972"/>
    <w:rsid w:val="00AB1CE9"/>
    <w:rsid w:val="00AB3D53"/>
    <w:rsid w:val="00AC1DF0"/>
    <w:rsid w:val="00AE49A0"/>
    <w:rsid w:val="00AF72A0"/>
    <w:rsid w:val="00B04C4F"/>
    <w:rsid w:val="00B32AB3"/>
    <w:rsid w:val="00B5334A"/>
    <w:rsid w:val="00B8200D"/>
    <w:rsid w:val="00BA2762"/>
    <w:rsid w:val="00BD2477"/>
    <w:rsid w:val="00BF1DE0"/>
    <w:rsid w:val="00C04340"/>
    <w:rsid w:val="00C209BB"/>
    <w:rsid w:val="00C55BEF"/>
    <w:rsid w:val="00C73BCE"/>
    <w:rsid w:val="00CC1AF0"/>
    <w:rsid w:val="00CE50BD"/>
    <w:rsid w:val="00CF07E4"/>
    <w:rsid w:val="00D26576"/>
    <w:rsid w:val="00D27037"/>
    <w:rsid w:val="00D40F84"/>
    <w:rsid w:val="00D45AD4"/>
    <w:rsid w:val="00D75CA1"/>
    <w:rsid w:val="00DA4B1D"/>
    <w:rsid w:val="00E21D02"/>
    <w:rsid w:val="00E26CBC"/>
    <w:rsid w:val="00E55EDF"/>
    <w:rsid w:val="00E60150"/>
    <w:rsid w:val="00E6041C"/>
    <w:rsid w:val="00E94F21"/>
    <w:rsid w:val="00EF748F"/>
    <w:rsid w:val="00F62AA3"/>
    <w:rsid w:val="00F90B6D"/>
    <w:rsid w:val="00F9257D"/>
    <w:rsid w:val="00FB1245"/>
    <w:rsid w:val="00FB154B"/>
    <w:rsid w:val="00FC7C39"/>
    <w:rsid w:val="00FD34FA"/>
    <w:rsid w:val="00FD465A"/>
    <w:rsid w:val="00FE20F8"/>
    <w:rsid w:val="016F283F"/>
    <w:rsid w:val="01732979"/>
    <w:rsid w:val="01A26771"/>
    <w:rsid w:val="01B50397"/>
    <w:rsid w:val="028E3199"/>
    <w:rsid w:val="02E11993"/>
    <w:rsid w:val="03A5079A"/>
    <w:rsid w:val="03D90B5E"/>
    <w:rsid w:val="03FB660C"/>
    <w:rsid w:val="04003C23"/>
    <w:rsid w:val="047F0B83"/>
    <w:rsid w:val="04814D63"/>
    <w:rsid w:val="049A5E25"/>
    <w:rsid w:val="04A42800"/>
    <w:rsid w:val="05015EA4"/>
    <w:rsid w:val="052D4EEB"/>
    <w:rsid w:val="056B28D7"/>
    <w:rsid w:val="06023C82"/>
    <w:rsid w:val="060E4EF5"/>
    <w:rsid w:val="06896151"/>
    <w:rsid w:val="06D51397"/>
    <w:rsid w:val="07322345"/>
    <w:rsid w:val="07BC2556"/>
    <w:rsid w:val="07EC5385"/>
    <w:rsid w:val="083B791F"/>
    <w:rsid w:val="08A94889"/>
    <w:rsid w:val="09045F63"/>
    <w:rsid w:val="095E1B17"/>
    <w:rsid w:val="09694018"/>
    <w:rsid w:val="098B21E0"/>
    <w:rsid w:val="09CA0B1C"/>
    <w:rsid w:val="09EC7123"/>
    <w:rsid w:val="0A9B1EDA"/>
    <w:rsid w:val="0ACA0AE6"/>
    <w:rsid w:val="0AED1671"/>
    <w:rsid w:val="0B81389B"/>
    <w:rsid w:val="0BA47589"/>
    <w:rsid w:val="0BD04822"/>
    <w:rsid w:val="0BFB189F"/>
    <w:rsid w:val="0C564D28"/>
    <w:rsid w:val="0C634C9A"/>
    <w:rsid w:val="0CA05FA3"/>
    <w:rsid w:val="0CAD06C0"/>
    <w:rsid w:val="0CC948D0"/>
    <w:rsid w:val="0CCD4209"/>
    <w:rsid w:val="0D554FDF"/>
    <w:rsid w:val="0D5F5E5E"/>
    <w:rsid w:val="0D6005C4"/>
    <w:rsid w:val="0D6F433B"/>
    <w:rsid w:val="0DBE2B84"/>
    <w:rsid w:val="0DC3019B"/>
    <w:rsid w:val="0E2D1AB8"/>
    <w:rsid w:val="0E462B7A"/>
    <w:rsid w:val="0E603C3C"/>
    <w:rsid w:val="0EA37FCC"/>
    <w:rsid w:val="0EAE5504"/>
    <w:rsid w:val="0F141210"/>
    <w:rsid w:val="0FC919CD"/>
    <w:rsid w:val="10596B94"/>
    <w:rsid w:val="10BE10ED"/>
    <w:rsid w:val="10FC1E96"/>
    <w:rsid w:val="114809B7"/>
    <w:rsid w:val="118B6CF6"/>
    <w:rsid w:val="119A56B6"/>
    <w:rsid w:val="11A0255B"/>
    <w:rsid w:val="11C73FD2"/>
    <w:rsid w:val="11FD0156"/>
    <w:rsid w:val="12A32349"/>
    <w:rsid w:val="133855F4"/>
    <w:rsid w:val="133B5D7B"/>
    <w:rsid w:val="134A6C68"/>
    <w:rsid w:val="137F4B64"/>
    <w:rsid w:val="14593607"/>
    <w:rsid w:val="148D505F"/>
    <w:rsid w:val="14952165"/>
    <w:rsid w:val="14976D8A"/>
    <w:rsid w:val="149D101A"/>
    <w:rsid w:val="14CA5031"/>
    <w:rsid w:val="14F705AC"/>
    <w:rsid w:val="1537146E"/>
    <w:rsid w:val="159A629A"/>
    <w:rsid w:val="15C17E46"/>
    <w:rsid w:val="15EB4733"/>
    <w:rsid w:val="1709284B"/>
    <w:rsid w:val="17105D6F"/>
    <w:rsid w:val="17732E3B"/>
    <w:rsid w:val="179E7583"/>
    <w:rsid w:val="17E72CD8"/>
    <w:rsid w:val="18390D96"/>
    <w:rsid w:val="184B7C9E"/>
    <w:rsid w:val="188A5137"/>
    <w:rsid w:val="190023E3"/>
    <w:rsid w:val="1A147FD0"/>
    <w:rsid w:val="1A4C32C6"/>
    <w:rsid w:val="1A900A7D"/>
    <w:rsid w:val="1AB1581F"/>
    <w:rsid w:val="1AB33C6D"/>
    <w:rsid w:val="1D0B56BA"/>
    <w:rsid w:val="1D126A49"/>
    <w:rsid w:val="1D44297A"/>
    <w:rsid w:val="1DBE272D"/>
    <w:rsid w:val="1DFB0CB6"/>
    <w:rsid w:val="1E58492F"/>
    <w:rsid w:val="1E7C6661"/>
    <w:rsid w:val="1E973172"/>
    <w:rsid w:val="1EA96F39"/>
    <w:rsid w:val="1EB61656"/>
    <w:rsid w:val="1EE066D3"/>
    <w:rsid w:val="1EEC198E"/>
    <w:rsid w:val="1F9F20EA"/>
    <w:rsid w:val="1FA15E62"/>
    <w:rsid w:val="20016901"/>
    <w:rsid w:val="207E61A3"/>
    <w:rsid w:val="20FF1092"/>
    <w:rsid w:val="214C004F"/>
    <w:rsid w:val="214F3207"/>
    <w:rsid w:val="215D4B3C"/>
    <w:rsid w:val="222B4109"/>
    <w:rsid w:val="229F6B9D"/>
    <w:rsid w:val="22EB7F12"/>
    <w:rsid w:val="22F75E5F"/>
    <w:rsid w:val="235D02F2"/>
    <w:rsid w:val="23744195"/>
    <w:rsid w:val="2378512C"/>
    <w:rsid w:val="2389558B"/>
    <w:rsid w:val="23A4767B"/>
    <w:rsid w:val="23DB07D7"/>
    <w:rsid w:val="243616F8"/>
    <w:rsid w:val="245636BF"/>
    <w:rsid w:val="25276E09"/>
    <w:rsid w:val="25396B3D"/>
    <w:rsid w:val="254A6C91"/>
    <w:rsid w:val="25BF06FB"/>
    <w:rsid w:val="25F211C5"/>
    <w:rsid w:val="26415D1C"/>
    <w:rsid w:val="26571970"/>
    <w:rsid w:val="265B4083"/>
    <w:rsid w:val="26A050C5"/>
    <w:rsid w:val="270C275B"/>
    <w:rsid w:val="275C3313"/>
    <w:rsid w:val="27C264EE"/>
    <w:rsid w:val="27D33279"/>
    <w:rsid w:val="27E17743"/>
    <w:rsid w:val="28E62B38"/>
    <w:rsid w:val="2912634B"/>
    <w:rsid w:val="296F0D7F"/>
    <w:rsid w:val="29A749BD"/>
    <w:rsid w:val="29DA6B40"/>
    <w:rsid w:val="2A7256E2"/>
    <w:rsid w:val="2AA131BA"/>
    <w:rsid w:val="2AB611DC"/>
    <w:rsid w:val="2B020295"/>
    <w:rsid w:val="2B0E07C7"/>
    <w:rsid w:val="2BDA63CE"/>
    <w:rsid w:val="2BE766D7"/>
    <w:rsid w:val="2C741E7B"/>
    <w:rsid w:val="2D894CCD"/>
    <w:rsid w:val="2DC00FDA"/>
    <w:rsid w:val="2DC24594"/>
    <w:rsid w:val="2DF12E9C"/>
    <w:rsid w:val="2E755089"/>
    <w:rsid w:val="2E97645D"/>
    <w:rsid w:val="2F212B1B"/>
    <w:rsid w:val="2FEA73B1"/>
    <w:rsid w:val="30662EDC"/>
    <w:rsid w:val="30B17955"/>
    <w:rsid w:val="30C7305D"/>
    <w:rsid w:val="30DD6F16"/>
    <w:rsid w:val="31684A32"/>
    <w:rsid w:val="319928A8"/>
    <w:rsid w:val="320209E2"/>
    <w:rsid w:val="32285F6F"/>
    <w:rsid w:val="325B6344"/>
    <w:rsid w:val="33770F5C"/>
    <w:rsid w:val="33BC1065"/>
    <w:rsid w:val="34056568"/>
    <w:rsid w:val="34237336"/>
    <w:rsid w:val="34A246FE"/>
    <w:rsid w:val="34A915E9"/>
    <w:rsid w:val="355A3FFA"/>
    <w:rsid w:val="35A87AF3"/>
    <w:rsid w:val="37555A58"/>
    <w:rsid w:val="377063EE"/>
    <w:rsid w:val="37DE5A4E"/>
    <w:rsid w:val="3825367C"/>
    <w:rsid w:val="38B44023"/>
    <w:rsid w:val="396E1053"/>
    <w:rsid w:val="39A131D7"/>
    <w:rsid w:val="39F458E7"/>
    <w:rsid w:val="3A4122C4"/>
    <w:rsid w:val="3A7E52C6"/>
    <w:rsid w:val="3AC54CA3"/>
    <w:rsid w:val="3B070617"/>
    <w:rsid w:val="3B704D44"/>
    <w:rsid w:val="3BCE2D2F"/>
    <w:rsid w:val="3CAD14C8"/>
    <w:rsid w:val="3CD76B58"/>
    <w:rsid w:val="3D073351"/>
    <w:rsid w:val="3D3D4FC4"/>
    <w:rsid w:val="3D932E36"/>
    <w:rsid w:val="3D9F17DB"/>
    <w:rsid w:val="3DC70B50"/>
    <w:rsid w:val="3E391C30"/>
    <w:rsid w:val="3E6F2172"/>
    <w:rsid w:val="3EC55271"/>
    <w:rsid w:val="3ED74FA5"/>
    <w:rsid w:val="3F260D7B"/>
    <w:rsid w:val="3F36616F"/>
    <w:rsid w:val="3F446897"/>
    <w:rsid w:val="3F700795"/>
    <w:rsid w:val="3FAF7CCF"/>
    <w:rsid w:val="40EA7211"/>
    <w:rsid w:val="41A05B22"/>
    <w:rsid w:val="42050454"/>
    <w:rsid w:val="42240501"/>
    <w:rsid w:val="425B7C9B"/>
    <w:rsid w:val="42E87E84"/>
    <w:rsid w:val="42ED4D97"/>
    <w:rsid w:val="431E79FE"/>
    <w:rsid w:val="43413334"/>
    <w:rsid w:val="436808C1"/>
    <w:rsid w:val="437F6989"/>
    <w:rsid w:val="43AC4C52"/>
    <w:rsid w:val="43B27D8E"/>
    <w:rsid w:val="44191BBB"/>
    <w:rsid w:val="442362AC"/>
    <w:rsid w:val="448046DC"/>
    <w:rsid w:val="4484797D"/>
    <w:rsid w:val="450308A1"/>
    <w:rsid w:val="45324E40"/>
    <w:rsid w:val="454A2974"/>
    <w:rsid w:val="454B2248"/>
    <w:rsid w:val="45B778DE"/>
    <w:rsid w:val="466C2476"/>
    <w:rsid w:val="46853538"/>
    <w:rsid w:val="46C44060"/>
    <w:rsid w:val="47705F96"/>
    <w:rsid w:val="47D66741"/>
    <w:rsid w:val="481728B6"/>
    <w:rsid w:val="485F0905"/>
    <w:rsid w:val="48BD520B"/>
    <w:rsid w:val="491C4628"/>
    <w:rsid w:val="49221512"/>
    <w:rsid w:val="492473B8"/>
    <w:rsid w:val="49900B72"/>
    <w:rsid w:val="49A87C69"/>
    <w:rsid w:val="49CC7DFC"/>
    <w:rsid w:val="49D7054F"/>
    <w:rsid w:val="4A122728"/>
    <w:rsid w:val="4A3459A1"/>
    <w:rsid w:val="4A8835F7"/>
    <w:rsid w:val="4ABA672D"/>
    <w:rsid w:val="4AD351BA"/>
    <w:rsid w:val="4B412124"/>
    <w:rsid w:val="4B5A31E5"/>
    <w:rsid w:val="4B887D52"/>
    <w:rsid w:val="4BD5286C"/>
    <w:rsid w:val="4BE631BD"/>
    <w:rsid w:val="4BEF4156"/>
    <w:rsid w:val="4BFA2159"/>
    <w:rsid w:val="4C097A15"/>
    <w:rsid w:val="4C6065D9"/>
    <w:rsid w:val="4C6A56AA"/>
    <w:rsid w:val="4CDB29F2"/>
    <w:rsid w:val="4D232A4D"/>
    <w:rsid w:val="4D2C295F"/>
    <w:rsid w:val="4DB56DF9"/>
    <w:rsid w:val="4E4F2DA9"/>
    <w:rsid w:val="4EDD03B5"/>
    <w:rsid w:val="4EE5076F"/>
    <w:rsid w:val="4FC11A85"/>
    <w:rsid w:val="50096F88"/>
    <w:rsid w:val="50B60EBE"/>
    <w:rsid w:val="50B67110"/>
    <w:rsid w:val="50DB6B76"/>
    <w:rsid w:val="510E5CE7"/>
    <w:rsid w:val="51374011"/>
    <w:rsid w:val="517D376B"/>
    <w:rsid w:val="51BB19E5"/>
    <w:rsid w:val="52727066"/>
    <w:rsid w:val="52B7716F"/>
    <w:rsid w:val="52C75604"/>
    <w:rsid w:val="52CD1815"/>
    <w:rsid w:val="52DB2DF6"/>
    <w:rsid w:val="5330028C"/>
    <w:rsid w:val="54044FB7"/>
    <w:rsid w:val="542E520F"/>
    <w:rsid w:val="54BA0063"/>
    <w:rsid w:val="55230AEC"/>
    <w:rsid w:val="553C72F9"/>
    <w:rsid w:val="55621614"/>
    <w:rsid w:val="55782BE6"/>
    <w:rsid w:val="558525F7"/>
    <w:rsid w:val="55A7525B"/>
    <w:rsid w:val="5641747C"/>
    <w:rsid w:val="5664194C"/>
    <w:rsid w:val="566E7823"/>
    <w:rsid w:val="56C22E49"/>
    <w:rsid w:val="574B3E6B"/>
    <w:rsid w:val="58256929"/>
    <w:rsid w:val="58A0262C"/>
    <w:rsid w:val="58DB4EF0"/>
    <w:rsid w:val="591850B4"/>
    <w:rsid w:val="59284923"/>
    <w:rsid w:val="595E05AC"/>
    <w:rsid w:val="59797A66"/>
    <w:rsid w:val="598633F7"/>
    <w:rsid w:val="59C77C98"/>
    <w:rsid w:val="59EA1BD8"/>
    <w:rsid w:val="5A1804F3"/>
    <w:rsid w:val="5A217D93"/>
    <w:rsid w:val="5B123195"/>
    <w:rsid w:val="5B152921"/>
    <w:rsid w:val="5B962018"/>
    <w:rsid w:val="5BC546AB"/>
    <w:rsid w:val="5C456AE2"/>
    <w:rsid w:val="5C5C5139"/>
    <w:rsid w:val="5C7402B9"/>
    <w:rsid w:val="5C9B540C"/>
    <w:rsid w:val="5D276C9F"/>
    <w:rsid w:val="5D3F5DB4"/>
    <w:rsid w:val="5D45320E"/>
    <w:rsid w:val="5D5F6439"/>
    <w:rsid w:val="5D8014F9"/>
    <w:rsid w:val="5E227B93"/>
    <w:rsid w:val="5E385608"/>
    <w:rsid w:val="5E5E4943"/>
    <w:rsid w:val="5E710B1A"/>
    <w:rsid w:val="5F174C13"/>
    <w:rsid w:val="5F1E7532"/>
    <w:rsid w:val="5F217E4A"/>
    <w:rsid w:val="5F5D0759"/>
    <w:rsid w:val="5F6418FC"/>
    <w:rsid w:val="5FB61A00"/>
    <w:rsid w:val="61273712"/>
    <w:rsid w:val="615A3AE7"/>
    <w:rsid w:val="626B762E"/>
    <w:rsid w:val="62712E97"/>
    <w:rsid w:val="62B36883"/>
    <w:rsid w:val="62C236F2"/>
    <w:rsid w:val="62DA4EE0"/>
    <w:rsid w:val="62FB6C04"/>
    <w:rsid w:val="63043D0B"/>
    <w:rsid w:val="638C5AAE"/>
    <w:rsid w:val="639F3A33"/>
    <w:rsid w:val="641B7EFE"/>
    <w:rsid w:val="64BC23C3"/>
    <w:rsid w:val="64E42046"/>
    <w:rsid w:val="64E57B6C"/>
    <w:rsid w:val="654740D2"/>
    <w:rsid w:val="65FC516D"/>
    <w:rsid w:val="66342B59"/>
    <w:rsid w:val="669730E8"/>
    <w:rsid w:val="66E8749F"/>
    <w:rsid w:val="674C5042"/>
    <w:rsid w:val="678418BE"/>
    <w:rsid w:val="67D80822"/>
    <w:rsid w:val="68A006D4"/>
    <w:rsid w:val="68AA7102"/>
    <w:rsid w:val="68F62348"/>
    <w:rsid w:val="697737F3"/>
    <w:rsid w:val="69AE2C22"/>
    <w:rsid w:val="69CD2AE3"/>
    <w:rsid w:val="69F525FF"/>
    <w:rsid w:val="6A072332"/>
    <w:rsid w:val="6A5E63F6"/>
    <w:rsid w:val="6A7F636D"/>
    <w:rsid w:val="6ACD70D8"/>
    <w:rsid w:val="6AE306AA"/>
    <w:rsid w:val="6B01232E"/>
    <w:rsid w:val="6B250CC2"/>
    <w:rsid w:val="6B8C5B1B"/>
    <w:rsid w:val="6BC404DB"/>
    <w:rsid w:val="6BC77FCB"/>
    <w:rsid w:val="6C0E5BFA"/>
    <w:rsid w:val="6C450EF0"/>
    <w:rsid w:val="6C9A123C"/>
    <w:rsid w:val="6CA12F97"/>
    <w:rsid w:val="6CE94B68"/>
    <w:rsid w:val="6D0B213A"/>
    <w:rsid w:val="6D0D5EB2"/>
    <w:rsid w:val="6DE210EC"/>
    <w:rsid w:val="6E2C6AC6"/>
    <w:rsid w:val="6E4C55AD"/>
    <w:rsid w:val="6E510020"/>
    <w:rsid w:val="6E601096"/>
    <w:rsid w:val="6EB34837"/>
    <w:rsid w:val="6EC6456A"/>
    <w:rsid w:val="6EFF182A"/>
    <w:rsid w:val="6F5953DE"/>
    <w:rsid w:val="6F5A2F04"/>
    <w:rsid w:val="6F5E29F5"/>
    <w:rsid w:val="6FF047FE"/>
    <w:rsid w:val="700C2451"/>
    <w:rsid w:val="70391DC3"/>
    <w:rsid w:val="70B825D8"/>
    <w:rsid w:val="70E4444A"/>
    <w:rsid w:val="713A2FED"/>
    <w:rsid w:val="71D21478"/>
    <w:rsid w:val="71DB20DB"/>
    <w:rsid w:val="727918F3"/>
    <w:rsid w:val="73412411"/>
    <w:rsid w:val="73453DE0"/>
    <w:rsid w:val="738467A2"/>
    <w:rsid w:val="738D38A8"/>
    <w:rsid w:val="742D6406"/>
    <w:rsid w:val="757C1E26"/>
    <w:rsid w:val="75A90F84"/>
    <w:rsid w:val="75DB4D9F"/>
    <w:rsid w:val="76320737"/>
    <w:rsid w:val="76326989"/>
    <w:rsid w:val="76424E1E"/>
    <w:rsid w:val="764364A0"/>
    <w:rsid w:val="76607052"/>
    <w:rsid w:val="76A56890"/>
    <w:rsid w:val="76CC0B8C"/>
    <w:rsid w:val="76D812DE"/>
    <w:rsid w:val="77674410"/>
    <w:rsid w:val="77DE0B76"/>
    <w:rsid w:val="77E12415"/>
    <w:rsid w:val="78320796"/>
    <w:rsid w:val="78540E39"/>
    <w:rsid w:val="786D5A56"/>
    <w:rsid w:val="78BC253A"/>
    <w:rsid w:val="795A422D"/>
    <w:rsid w:val="79CB6ED9"/>
    <w:rsid w:val="7A2B7977"/>
    <w:rsid w:val="7A4A06D6"/>
    <w:rsid w:val="7A6F3D08"/>
    <w:rsid w:val="7A763169"/>
    <w:rsid w:val="7A854465"/>
    <w:rsid w:val="7B0C1557"/>
    <w:rsid w:val="7B2965AD"/>
    <w:rsid w:val="7C5533D1"/>
    <w:rsid w:val="7C683105"/>
    <w:rsid w:val="7C7E14AD"/>
    <w:rsid w:val="7D6B2EAC"/>
    <w:rsid w:val="7D951033"/>
    <w:rsid w:val="7E0C7AC0"/>
    <w:rsid w:val="7E5B4B3D"/>
    <w:rsid w:val="7EC5039A"/>
    <w:rsid w:val="7ED93E46"/>
    <w:rsid w:val="7EF4284C"/>
    <w:rsid w:val="7F4324BC"/>
    <w:rsid w:val="7FC6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qFormat="1" w:uiPriority="99"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1"/>
    <w:qFormat/>
    <w:uiPriority w:val="0"/>
    <w:pPr>
      <w:keepNext/>
      <w:keepLines/>
      <w:spacing w:before="340" w:after="330" w:line="576" w:lineRule="auto"/>
      <w:outlineLvl w:val="0"/>
    </w:pPr>
    <w:rPr>
      <w:rFonts w:ascii="Calibri" w:hAnsi="Calibri" w:eastAsia="宋体" w:cs="Times New Roman"/>
      <w:b/>
      <w:kern w:val="44"/>
      <w:sz w:val="44"/>
      <w:szCs w:val="20"/>
    </w:rPr>
  </w:style>
  <w:style w:type="paragraph" w:styleId="4">
    <w:name w:val="heading 2"/>
    <w:basedOn w:val="1"/>
    <w:next w:val="1"/>
    <w:link w:val="72"/>
    <w:qFormat/>
    <w:uiPriority w:val="0"/>
    <w:pPr>
      <w:keepNext/>
      <w:keepLines/>
      <w:spacing w:before="260" w:after="260" w:line="413" w:lineRule="auto"/>
      <w:outlineLvl w:val="1"/>
    </w:pPr>
    <w:rPr>
      <w:rFonts w:ascii="Arial" w:hAnsi="Arial" w:eastAsia="黑体" w:cs="Times New Roman"/>
      <w:b/>
      <w:sz w:val="32"/>
      <w:szCs w:val="20"/>
    </w:rPr>
  </w:style>
  <w:style w:type="paragraph" w:styleId="5">
    <w:name w:val="heading 3"/>
    <w:basedOn w:val="1"/>
    <w:next w:val="1"/>
    <w:link w:val="73"/>
    <w:qFormat/>
    <w:uiPriority w:val="0"/>
    <w:pPr>
      <w:keepNext/>
      <w:keepLines/>
      <w:spacing w:before="260" w:after="260" w:line="413" w:lineRule="auto"/>
      <w:outlineLvl w:val="2"/>
    </w:pPr>
    <w:rPr>
      <w:rFonts w:ascii="Calibri" w:hAnsi="Calibri" w:eastAsia="宋体" w:cs="Times New Roman"/>
      <w:b/>
      <w:sz w:val="32"/>
      <w:szCs w:val="20"/>
    </w:rPr>
  </w:style>
  <w:style w:type="paragraph" w:styleId="6">
    <w:name w:val="heading 4"/>
    <w:basedOn w:val="1"/>
    <w:next w:val="1"/>
    <w:link w:val="74"/>
    <w:qFormat/>
    <w:uiPriority w:val="0"/>
    <w:pPr>
      <w:keepNext/>
      <w:keepLines/>
      <w:pageBreakBefore/>
      <w:spacing w:before="120" w:line="360" w:lineRule="auto"/>
      <w:jc w:val="center"/>
      <w:outlineLvl w:val="3"/>
    </w:pPr>
    <w:rPr>
      <w:rFonts w:ascii="Arial" w:hAnsi="Arial" w:eastAsia="黑体" w:cs="Times New Roman"/>
      <w:b/>
      <w:bCs/>
      <w:sz w:val="28"/>
      <w:szCs w:val="28"/>
    </w:rPr>
  </w:style>
  <w:style w:type="paragraph" w:styleId="7">
    <w:name w:val="heading 5"/>
    <w:basedOn w:val="1"/>
    <w:next w:val="1"/>
    <w:link w:val="75"/>
    <w:qFormat/>
    <w:uiPriority w:val="0"/>
    <w:pPr>
      <w:pageBreakBefore/>
      <w:widowControl/>
      <w:spacing w:before="240" w:after="60"/>
      <w:jc w:val="center"/>
      <w:outlineLvl w:val="4"/>
    </w:pPr>
    <w:rPr>
      <w:rFonts w:ascii="Arial" w:hAnsi="Arial" w:eastAsia="黑体" w:cs="Times New Roman"/>
      <w:bCs/>
      <w:sz w:val="24"/>
      <w:szCs w:val="32"/>
    </w:rPr>
  </w:style>
  <w:style w:type="paragraph" w:styleId="8">
    <w:name w:val="heading 6"/>
    <w:basedOn w:val="1"/>
    <w:next w:val="1"/>
    <w:link w:val="76"/>
    <w:qFormat/>
    <w:uiPriority w:val="0"/>
    <w:pPr>
      <w:keepNext/>
      <w:keepLines/>
      <w:widowControl/>
      <w:tabs>
        <w:tab w:val="left" w:pos="1440"/>
      </w:tabs>
      <w:spacing w:before="240" w:after="64" w:line="316" w:lineRule="auto"/>
      <w:ind w:left="1152" w:hanging="1152"/>
      <w:jc w:val="left"/>
      <w:outlineLvl w:val="5"/>
    </w:pPr>
    <w:rPr>
      <w:rFonts w:ascii="Arial" w:hAnsi="Arial" w:eastAsia="黑体" w:cs="Times New Roman"/>
      <w:b/>
      <w:bCs/>
      <w:kern w:val="0"/>
      <w:sz w:val="24"/>
      <w:szCs w:val="20"/>
    </w:rPr>
  </w:style>
  <w:style w:type="paragraph" w:styleId="9">
    <w:name w:val="heading 7"/>
    <w:basedOn w:val="1"/>
    <w:next w:val="1"/>
    <w:link w:val="77"/>
    <w:qFormat/>
    <w:uiPriority w:val="0"/>
    <w:pPr>
      <w:keepNext/>
      <w:keepLines/>
      <w:widowControl/>
      <w:numPr>
        <w:ilvl w:val="6"/>
        <w:numId w:val="1"/>
      </w:numPr>
      <w:tabs>
        <w:tab w:val="left" w:pos="2520"/>
      </w:tabs>
      <w:spacing w:before="240" w:after="64" w:line="316" w:lineRule="auto"/>
      <w:ind w:left="1296" w:hanging="1296"/>
      <w:jc w:val="left"/>
      <w:outlineLvl w:val="6"/>
    </w:pPr>
    <w:rPr>
      <w:rFonts w:ascii="Calibri" w:hAnsi="Calibri" w:eastAsia="宋体" w:cs="Times New Roman"/>
      <w:b/>
      <w:bCs/>
      <w:kern w:val="0"/>
      <w:sz w:val="24"/>
      <w:szCs w:val="20"/>
    </w:rPr>
  </w:style>
  <w:style w:type="paragraph" w:styleId="10">
    <w:name w:val="heading 8"/>
    <w:basedOn w:val="1"/>
    <w:next w:val="1"/>
    <w:link w:val="78"/>
    <w:qFormat/>
    <w:uiPriority w:val="0"/>
    <w:pPr>
      <w:keepNext/>
      <w:keepLines/>
      <w:widowControl/>
      <w:numPr>
        <w:ilvl w:val="7"/>
        <w:numId w:val="1"/>
      </w:numPr>
      <w:tabs>
        <w:tab w:val="left" w:pos="1440"/>
      </w:tabs>
      <w:spacing w:before="240" w:after="64" w:line="316" w:lineRule="auto"/>
      <w:ind w:left="1440" w:hanging="1440"/>
      <w:jc w:val="left"/>
      <w:outlineLvl w:val="7"/>
    </w:pPr>
    <w:rPr>
      <w:rFonts w:ascii="Arial" w:hAnsi="Arial" w:eastAsia="黑体" w:cs="Times New Roman"/>
      <w:kern w:val="0"/>
      <w:sz w:val="24"/>
      <w:szCs w:val="20"/>
    </w:rPr>
  </w:style>
  <w:style w:type="paragraph" w:styleId="11">
    <w:name w:val="heading 9"/>
    <w:basedOn w:val="1"/>
    <w:next w:val="1"/>
    <w:link w:val="79"/>
    <w:qFormat/>
    <w:uiPriority w:val="0"/>
    <w:pPr>
      <w:keepNext/>
      <w:keepLines/>
      <w:widowControl/>
      <w:numPr>
        <w:ilvl w:val="8"/>
        <w:numId w:val="1"/>
      </w:numPr>
      <w:tabs>
        <w:tab w:val="left" w:pos="1584"/>
      </w:tabs>
      <w:spacing w:before="240" w:after="64" w:line="316" w:lineRule="auto"/>
      <w:ind w:left="1584" w:hanging="1584"/>
      <w:jc w:val="left"/>
      <w:outlineLvl w:val="8"/>
    </w:pPr>
    <w:rPr>
      <w:rFonts w:ascii="Arial" w:hAnsi="Arial" w:eastAsia="黑体" w:cs="Times New Roman"/>
      <w:kern w:val="0"/>
      <w:sz w:val="20"/>
      <w:szCs w:val="21"/>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rFonts w:ascii="Times New Roman" w:hAnsi="Times New Roman"/>
      <w:szCs w:val="20"/>
      <w:lang w:val="zh-CN"/>
    </w:rPr>
  </w:style>
  <w:style w:type="paragraph" w:styleId="12">
    <w:name w:val="toc 7"/>
    <w:basedOn w:val="1"/>
    <w:next w:val="1"/>
    <w:unhideWhenUsed/>
    <w:qFormat/>
    <w:uiPriority w:val="0"/>
    <w:pPr>
      <w:ind w:left="1260"/>
      <w:jc w:val="left"/>
    </w:pPr>
    <w:rPr>
      <w:rFonts w:ascii="Calibri" w:hAnsi="Calibri" w:eastAsia="宋体" w:cs="Times New Roman"/>
      <w:sz w:val="18"/>
      <w:szCs w:val="18"/>
    </w:rPr>
  </w:style>
  <w:style w:type="paragraph" w:styleId="13">
    <w:name w:val="List Bullet 4"/>
    <w:basedOn w:val="1"/>
    <w:qFormat/>
    <w:uiPriority w:val="0"/>
    <w:pPr>
      <w:tabs>
        <w:tab w:val="left" w:pos="1620"/>
      </w:tabs>
      <w:ind w:left="1620" w:leftChars="600" w:hanging="360" w:hangingChars="200"/>
    </w:pPr>
    <w:rPr>
      <w:rFonts w:ascii="Times New Roman" w:hAnsi="Times New Roman" w:eastAsia="宋体" w:cs="Times New Roman"/>
      <w:szCs w:val="24"/>
    </w:rPr>
  </w:style>
  <w:style w:type="paragraph" w:styleId="14">
    <w:name w:val="Normal Indent"/>
    <w:basedOn w:val="1"/>
    <w:link w:val="212"/>
    <w:unhideWhenUsed/>
    <w:qFormat/>
    <w:uiPriority w:val="0"/>
    <w:pPr>
      <w:ind w:firstLine="420" w:firstLineChars="200"/>
    </w:pPr>
  </w:style>
  <w:style w:type="paragraph" w:styleId="15">
    <w:name w:val="caption"/>
    <w:basedOn w:val="1"/>
    <w:next w:val="1"/>
    <w:qFormat/>
    <w:uiPriority w:val="0"/>
    <w:rPr>
      <w:rFonts w:ascii="Arial" w:hAnsi="Arial" w:eastAsia="黑体" w:cs="Arial"/>
      <w:sz w:val="20"/>
      <w:szCs w:val="20"/>
    </w:rPr>
  </w:style>
  <w:style w:type="paragraph" w:styleId="16">
    <w:name w:val="List Bullet"/>
    <w:basedOn w:val="1"/>
    <w:qFormat/>
    <w:uiPriority w:val="0"/>
    <w:pPr>
      <w:tabs>
        <w:tab w:val="left" w:pos="360"/>
      </w:tabs>
      <w:ind w:left="360" w:hanging="360" w:hangingChars="200"/>
    </w:pPr>
    <w:rPr>
      <w:rFonts w:ascii="Times New Roman" w:hAnsi="Times New Roman" w:eastAsia="宋体" w:cs="Times New Roman"/>
      <w:szCs w:val="24"/>
    </w:rPr>
  </w:style>
  <w:style w:type="paragraph" w:styleId="17">
    <w:name w:val="Document Map"/>
    <w:basedOn w:val="1"/>
    <w:link w:val="240"/>
    <w:unhideWhenUsed/>
    <w:qFormat/>
    <w:uiPriority w:val="0"/>
    <w:pPr>
      <w:shd w:val="clear" w:color="auto" w:fill="000080"/>
    </w:pPr>
    <w:rPr>
      <w:rFonts w:ascii="Calibri" w:hAnsi="Calibri" w:eastAsia="宋体" w:cs="Times New Roman"/>
    </w:rPr>
  </w:style>
  <w:style w:type="paragraph" w:styleId="18">
    <w:name w:val="annotation text"/>
    <w:basedOn w:val="1"/>
    <w:link w:val="222"/>
    <w:unhideWhenUsed/>
    <w:qFormat/>
    <w:uiPriority w:val="0"/>
    <w:pPr>
      <w:jc w:val="left"/>
    </w:pPr>
    <w:rPr>
      <w:rFonts w:ascii="Times New Roman" w:hAnsi="Times New Roman" w:eastAsia="宋体" w:cs="Times New Roman"/>
      <w:szCs w:val="24"/>
    </w:rPr>
  </w:style>
  <w:style w:type="paragraph" w:styleId="19">
    <w:name w:val="Body Text 3"/>
    <w:basedOn w:val="1"/>
    <w:link w:val="70"/>
    <w:unhideWhenUsed/>
    <w:qFormat/>
    <w:uiPriority w:val="0"/>
    <w:pPr>
      <w:spacing w:after="120"/>
    </w:pPr>
    <w:rPr>
      <w:sz w:val="16"/>
      <w:szCs w:val="16"/>
    </w:rPr>
  </w:style>
  <w:style w:type="paragraph" w:styleId="20">
    <w:name w:val="List Bullet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21">
    <w:name w:val="Body Text"/>
    <w:basedOn w:val="1"/>
    <w:next w:val="1"/>
    <w:link w:val="6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Body Text Indent"/>
    <w:basedOn w:val="1"/>
    <w:next w:val="23"/>
    <w:link w:val="68"/>
    <w:unhideWhenUsed/>
    <w:qFormat/>
    <w:uiPriority w:val="0"/>
    <w:pPr>
      <w:spacing w:after="120"/>
      <w:ind w:left="420" w:leftChars="200"/>
    </w:pPr>
  </w:style>
  <w:style w:type="paragraph" w:styleId="23">
    <w:name w:val="envelope return"/>
    <w:basedOn w:val="1"/>
    <w:unhideWhenUsed/>
    <w:qFormat/>
    <w:uiPriority w:val="99"/>
    <w:pPr>
      <w:snapToGrid w:val="0"/>
    </w:pPr>
    <w:rPr>
      <w:rFonts w:ascii="Arial" w:hAnsi="Arial" w:eastAsia="宋体" w:cs="Times New Roman"/>
    </w:rPr>
  </w:style>
  <w:style w:type="paragraph" w:styleId="24">
    <w:name w:val="List Bullet 2"/>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unhideWhenUsed/>
    <w:qFormat/>
    <w:uiPriority w:val="0"/>
    <w:pPr>
      <w:ind w:left="840"/>
      <w:jc w:val="left"/>
    </w:pPr>
    <w:rPr>
      <w:rFonts w:ascii="Calibri" w:hAnsi="Calibri" w:eastAsia="宋体" w:cs="Times New Roman"/>
      <w:sz w:val="18"/>
      <w:szCs w:val="18"/>
    </w:rPr>
  </w:style>
  <w:style w:type="paragraph" w:styleId="27">
    <w:name w:val="toc 3"/>
    <w:basedOn w:val="1"/>
    <w:next w:val="1"/>
    <w:unhideWhenUsed/>
    <w:qFormat/>
    <w:uiPriority w:val="0"/>
    <w:pPr>
      <w:ind w:left="420"/>
      <w:jc w:val="left"/>
    </w:pPr>
    <w:rPr>
      <w:rFonts w:ascii="Calibri" w:hAnsi="Calibri" w:eastAsia="宋体" w:cs="Times New Roman"/>
      <w:i/>
      <w:iCs/>
      <w:sz w:val="20"/>
      <w:szCs w:val="20"/>
    </w:rPr>
  </w:style>
  <w:style w:type="paragraph" w:styleId="28">
    <w:name w:val="Plain Text"/>
    <w:basedOn w:val="1"/>
    <w:link w:val="179"/>
    <w:unhideWhenUsed/>
    <w:qFormat/>
    <w:uiPriority w:val="99"/>
    <w:rPr>
      <w:rFonts w:ascii="Courier New" w:hAnsi="Courier New" w:eastAsia="宋体" w:cs="Times New Roman"/>
      <w:szCs w:val="20"/>
    </w:rPr>
  </w:style>
  <w:style w:type="paragraph" w:styleId="29">
    <w:name w:val="List Bullet 5"/>
    <w:basedOn w:val="1"/>
    <w:qFormat/>
    <w:uiPriority w:val="0"/>
    <w:pPr>
      <w:tabs>
        <w:tab w:val="left" w:pos="2040"/>
      </w:tabs>
      <w:ind w:left="2040" w:leftChars="800" w:hanging="360" w:hangingChars="200"/>
    </w:pPr>
    <w:rPr>
      <w:rFonts w:ascii="Times New Roman" w:hAnsi="Times New Roman" w:eastAsia="宋体" w:cs="Times New Roman"/>
      <w:szCs w:val="24"/>
    </w:rPr>
  </w:style>
  <w:style w:type="paragraph" w:styleId="30">
    <w:name w:val="toc 8"/>
    <w:basedOn w:val="1"/>
    <w:next w:val="1"/>
    <w:unhideWhenUsed/>
    <w:qFormat/>
    <w:uiPriority w:val="0"/>
    <w:pPr>
      <w:ind w:left="1470"/>
      <w:jc w:val="left"/>
    </w:pPr>
    <w:rPr>
      <w:rFonts w:ascii="Calibri" w:hAnsi="Calibri" w:eastAsia="宋体" w:cs="Times New Roman"/>
      <w:sz w:val="18"/>
      <w:szCs w:val="18"/>
    </w:rPr>
  </w:style>
  <w:style w:type="paragraph" w:styleId="31">
    <w:name w:val="Date"/>
    <w:basedOn w:val="1"/>
    <w:next w:val="1"/>
    <w:link w:val="218"/>
    <w:unhideWhenUsed/>
    <w:qFormat/>
    <w:uiPriority w:val="0"/>
    <w:rPr>
      <w:rFonts w:ascii="Calibri" w:hAnsi="Calibri" w:eastAsia="宋体" w:cs="Times New Roman"/>
      <w:sz w:val="24"/>
      <w:szCs w:val="20"/>
    </w:rPr>
  </w:style>
  <w:style w:type="paragraph" w:styleId="32">
    <w:name w:val="Body Text Indent 2"/>
    <w:basedOn w:val="1"/>
    <w:link w:val="196"/>
    <w:unhideWhenUsed/>
    <w:qFormat/>
    <w:uiPriority w:val="0"/>
    <w:pPr>
      <w:spacing w:line="400" w:lineRule="exact"/>
      <w:ind w:left="425"/>
    </w:pPr>
    <w:rPr>
      <w:rFonts w:ascii="Times New Roman" w:hAnsi="Times New Roman" w:eastAsia="宋体" w:cs="Times New Roman"/>
      <w:color w:val="000000"/>
      <w:kern w:val="0"/>
      <w:sz w:val="24"/>
      <w:szCs w:val="20"/>
    </w:rPr>
  </w:style>
  <w:style w:type="paragraph" w:styleId="33">
    <w:name w:val="endnote text"/>
    <w:basedOn w:val="1"/>
    <w:link w:val="191"/>
    <w:qFormat/>
    <w:uiPriority w:val="0"/>
    <w:pPr>
      <w:snapToGrid w:val="0"/>
      <w:jc w:val="left"/>
    </w:pPr>
    <w:rPr>
      <w:szCs w:val="24"/>
    </w:rPr>
  </w:style>
  <w:style w:type="paragraph" w:styleId="34">
    <w:name w:val="Balloon Text"/>
    <w:basedOn w:val="1"/>
    <w:link w:val="125"/>
    <w:unhideWhenUsed/>
    <w:qFormat/>
    <w:uiPriority w:val="99"/>
    <w:rPr>
      <w:rFonts w:ascii="Calibri" w:hAnsi="Calibri" w:eastAsia="宋体" w:cs="Times New Roman"/>
      <w:sz w:val="18"/>
      <w:szCs w:val="18"/>
    </w:rPr>
  </w:style>
  <w:style w:type="paragraph" w:styleId="35">
    <w:name w:val="footer"/>
    <w:basedOn w:val="1"/>
    <w:link w:val="231"/>
    <w:unhideWhenUsed/>
    <w:qFormat/>
    <w:uiPriority w:val="99"/>
    <w:pPr>
      <w:tabs>
        <w:tab w:val="center" w:pos="4153"/>
        <w:tab w:val="right" w:pos="8306"/>
      </w:tabs>
      <w:snapToGrid w:val="0"/>
      <w:jc w:val="left"/>
    </w:pPr>
    <w:rPr>
      <w:sz w:val="18"/>
      <w:szCs w:val="18"/>
    </w:rPr>
  </w:style>
  <w:style w:type="paragraph" w:styleId="36">
    <w:name w:val="header"/>
    <w:basedOn w:val="1"/>
    <w:link w:val="175"/>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spacing w:before="120" w:after="120"/>
      <w:jc w:val="left"/>
    </w:pPr>
    <w:rPr>
      <w:rFonts w:ascii="Calibri" w:hAnsi="Calibri" w:eastAsia="宋体" w:cs="Times New Roman"/>
      <w:b/>
      <w:bCs/>
      <w:caps/>
      <w:sz w:val="24"/>
      <w:szCs w:val="20"/>
    </w:rPr>
  </w:style>
  <w:style w:type="paragraph" w:styleId="38">
    <w:name w:val="toc 4"/>
    <w:basedOn w:val="1"/>
    <w:next w:val="1"/>
    <w:unhideWhenUsed/>
    <w:qFormat/>
    <w:uiPriority w:val="0"/>
    <w:pPr>
      <w:ind w:left="630"/>
      <w:jc w:val="left"/>
    </w:pPr>
    <w:rPr>
      <w:rFonts w:ascii="Calibri" w:hAnsi="Calibri" w:eastAsia="宋体" w:cs="Times New Roman"/>
      <w:sz w:val="18"/>
      <w:szCs w:val="18"/>
    </w:rPr>
  </w:style>
  <w:style w:type="paragraph" w:styleId="39">
    <w:name w:val="Subtitle"/>
    <w:basedOn w:val="1"/>
    <w:next w:val="1"/>
    <w:link w:val="223"/>
    <w:qFormat/>
    <w:uiPriority w:val="0"/>
    <w:pPr>
      <w:widowControl/>
      <w:spacing w:after="60"/>
      <w:jc w:val="center"/>
      <w:outlineLvl w:val="1"/>
    </w:pPr>
    <w:rPr>
      <w:rFonts w:ascii="Arial" w:hAnsi="Arial" w:eastAsia="黑体" w:cs="Times New Roman"/>
      <w:b/>
      <w:bCs/>
      <w:sz w:val="32"/>
      <w:szCs w:val="32"/>
    </w:rPr>
  </w:style>
  <w:style w:type="paragraph" w:styleId="40">
    <w:name w:val="footnote text"/>
    <w:basedOn w:val="1"/>
    <w:link w:val="142"/>
    <w:unhideWhenUsed/>
    <w:qFormat/>
    <w:uiPriority w:val="0"/>
    <w:rPr>
      <w:rFonts w:ascii="Calibri" w:hAnsi="Calibri" w:eastAsia="宋体" w:cs="Times New Roman"/>
      <w:sz w:val="20"/>
      <w:szCs w:val="20"/>
    </w:rPr>
  </w:style>
  <w:style w:type="paragraph" w:styleId="41">
    <w:name w:val="toc 6"/>
    <w:basedOn w:val="1"/>
    <w:next w:val="1"/>
    <w:unhideWhenUsed/>
    <w:qFormat/>
    <w:uiPriority w:val="0"/>
    <w:pPr>
      <w:ind w:left="1050"/>
      <w:jc w:val="left"/>
    </w:pPr>
    <w:rPr>
      <w:rFonts w:ascii="Calibri" w:hAnsi="Calibri" w:eastAsia="宋体" w:cs="Times New Roman"/>
      <w:sz w:val="18"/>
      <w:szCs w:val="18"/>
    </w:rPr>
  </w:style>
  <w:style w:type="paragraph" w:styleId="42">
    <w:name w:val="Body Text Indent 3"/>
    <w:basedOn w:val="1"/>
    <w:link w:val="110"/>
    <w:unhideWhenUsed/>
    <w:qFormat/>
    <w:uiPriority w:val="0"/>
    <w:pPr>
      <w:spacing w:after="120"/>
      <w:ind w:left="420" w:leftChars="200"/>
    </w:pPr>
    <w:rPr>
      <w:rFonts w:ascii="Calibri" w:hAnsi="Calibri" w:eastAsia="宋体" w:cs="Times New Roman"/>
      <w:sz w:val="16"/>
      <w:szCs w:val="16"/>
    </w:rPr>
  </w:style>
  <w:style w:type="paragraph" w:styleId="43">
    <w:name w:val="table of figures"/>
    <w:basedOn w:val="1"/>
    <w:next w:val="1"/>
    <w:unhideWhenUsed/>
    <w:qFormat/>
    <w:uiPriority w:val="0"/>
    <w:pPr>
      <w:ind w:left="200" w:leftChars="200" w:hanging="200" w:hangingChars="200"/>
    </w:pPr>
    <w:rPr>
      <w:rFonts w:ascii="Calibri" w:hAnsi="Calibri" w:eastAsia="宋体" w:cs="Times New Roman"/>
    </w:rPr>
  </w:style>
  <w:style w:type="paragraph" w:styleId="44">
    <w:name w:val="toc 2"/>
    <w:basedOn w:val="1"/>
    <w:next w:val="1"/>
    <w:unhideWhenUsed/>
    <w:qFormat/>
    <w:uiPriority w:val="0"/>
    <w:pPr>
      <w:ind w:left="210"/>
      <w:jc w:val="left"/>
    </w:pPr>
    <w:rPr>
      <w:rFonts w:ascii="Calibri" w:hAnsi="Calibri" w:eastAsia="宋体" w:cs="Times New Roman"/>
      <w:smallCaps/>
      <w:sz w:val="20"/>
      <w:szCs w:val="20"/>
    </w:rPr>
  </w:style>
  <w:style w:type="paragraph" w:styleId="45">
    <w:name w:val="toc 9"/>
    <w:basedOn w:val="1"/>
    <w:next w:val="1"/>
    <w:unhideWhenUsed/>
    <w:qFormat/>
    <w:uiPriority w:val="0"/>
    <w:pPr>
      <w:ind w:left="1680"/>
      <w:jc w:val="left"/>
    </w:pPr>
    <w:rPr>
      <w:rFonts w:ascii="Calibri" w:hAnsi="Calibri" w:eastAsia="宋体" w:cs="Times New Roman"/>
      <w:sz w:val="18"/>
      <w:szCs w:val="18"/>
    </w:rPr>
  </w:style>
  <w:style w:type="paragraph" w:styleId="46">
    <w:name w:val="Body Text 2"/>
    <w:basedOn w:val="1"/>
    <w:link w:val="185"/>
    <w:unhideWhenUsed/>
    <w:qFormat/>
    <w:uiPriority w:val="0"/>
    <w:pPr>
      <w:spacing w:line="500" w:lineRule="exact"/>
      <w:jc w:val="center"/>
    </w:pPr>
    <w:rPr>
      <w:rFonts w:ascii="Times New Roman" w:hAnsi="宋体" w:eastAsia="方正小标宋_GBK" w:cs="Times New Roman"/>
      <w:spacing w:val="-20"/>
      <w:kern w:val="0"/>
      <w:sz w:val="44"/>
      <w:szCs w:val="32"/>
    </w:rPr>
  </w:style>
  <w:style w:type="paragraph" w:styleId="4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8">
    <w:name w:val="index 1"/>
    <w:basedOn w:val="1"/>
    <w:next w:val="1"/>
    <w:unhideWhenUsed/>
    <w:qFormat/>
    <w:uiPriority w:val="0"/>
    <w:pPr>
      <w:spacing w:line="400" w:lineRule="exact"/>
      <w:ind w:firstLine="2205" w:firstLineChars="1050"/>
    </w:pPr>
    <w:rPr>
      <w:rFonts w:ascii="Times New Roman" w:hAnsi="Times New Roman" w:eastAsia="宋体" w:cs="Times New Roman"/>
      <w:szCs w:val="21"/>
    </w:rPr>
  </w:style>
  <w:style w:type="paragraph" w:styleId="49">
    <w:name w:val="Title"/>
    <w:basedOn w:val="1"/>
    <w:link w:val="147"/>
    <w:qFormat/>
    <w:uiPriority w:val="0"/>
    <w:pPr>
      <w:adjustRightInd w:val="0"/>
      <w:spacing w:before="240" w:after="60" w:line="420" w:lineRule="atLeast"/>
      <w:jc w:val="center"/>
      <w:outlineLvl w:val="0"/>
    </w:pPr>
    <w:rPr>
      <w:rFonts w:ascii="Arial" w:hAnsi="Arial" w:eastAsia="宋体" w:cs="Times New Roman"/>
      <w:b/>
      <w:kern w:val="0"/>
      <w:sz w:val="32"/>
      <w:szCs w:val="20"/>
    </w:rPr>
  </w:style>
  <w:style w:type="paragraph" w:styleId="50">
    <w:name w:val="annotation subject"/>
    <w:basedOn w:val="18"/>
    <w:next w:val="18"/>
    <w:link w:val="233"/>
    <w:unhideWhenUsed/>
    <w:qFormat/>
    <w:uiPriority w:val="0"/>
    <w:rPr>
      <w:b/>
      <w:bCs/>
    </w:rPr>
  </w:style>
  <w:style w:type="paragraph" w:styleId="51">
    <w:name w:val="Body Text First Indent"/>
    <w:basedOn w:val="21"/>
    <w:link w:val="236"/>
    <w:unhideWhenUsed/>
    <w:qFormat/>
    <w:uiPriority w:val="0"/>
    <w:pPr>
      <w:widowControl w:val="0"/>
      <w:spacing w:before="0" w:beforeAutospacing="0" w:after="120" w:afterAutospacing="0"/>
      <w:ind w:firstLine="420"/>
      <w:jc w:val="both"/>
    </w:pPr>
    <w:rPr>
      <w:rFonts w:ascii="Times New Roman" w:hAnsi="Times New Roman" w:cs="Times New Roman"/>
      <w:sz w:val="20"/>
      <w:szCs w:val="20"/>
    </w:rPr>
  </w:style>
  <w:style w:type="paragraph" w:styleId="52">
    <w:name w:val="Body Text First Indent 2"/>
    <w:basedOn w:val="22"/>
    <w:link w:val="69"/>
    <w:unhideWhenUsed/>
    <w:qFormat/>
    <w:uiPriority w:val="0"/>
    <w:pPr>
      <w:ind w:firstLine="420" w:firstLineChars="200"/>
    </w:pPr>
  </w:style>
  <w:style w:type="table" w:styleId="54">
    <w:name w:val="Table Grid"/>
    <w:basedOn w:val="5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Theme"/>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6">
    <w:name w:val="Table Professional"/>
    <w:basedOn w:val="5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8">
    <w:name w:val="Strong"/>
    <w:qFormat/>
    <w:uiPriority w:val="0"/>
    <w:rPr>
      <w:b/>
    </w:rPr>
  </w:style>
  <w:style w:type="character" w:styleId="59">
    <w:name w:val="endnote reference"/>
    <w:qFormat/>
    <w:uiPriority w:val="0"/>
    <w:rPr>
      <w:vertAlign w:val="superscript"/>
    </w:rPr>
  </w:style>
  <w:style w:type="character" w:styleId="60">
    <w:name w:val="page number"/>
    <w:basedOn w:val="57"/>
    <w:qFormat/>
    <w:uiPriority w:val="0"/>
  </w:style>
  <w:style w:type="character" w:styleId="61">
    <w:name w:val="FollowedHyperlink"/>
    <w:unhideWhenUsed/>
    <w:qFormat/>
    <w:uiPriority w:val="99"/>
    <w:rPr>
      <w:color w:val="800080"/>
      <w:u w:val="single"/>
    </w:rPr>
  </w:style>
  <w:style w:type="character" w:styleId="62">
    <w:name w:val="Emphasis"/>
    <w:qFormat/>
    <w:uiPriority w:val="0"/>
    <w:rPr>
      <w:color w:val="CC0000"/>
    </w:rPr>
  </w:style>
  <w:style w:type="character" w:styleId="63">
    <w:name w:val="Hyperlink"/>
    <w:basedOn w:val="57"/>
    <w:unhideWhenUsed/>
    <w:qFormat/>
    <w:uiPriority w:val="99"/>
    <w:rPr>
      <w:color w:val="0000FF"/>
      <w:u w:val="single"/>
    </w:rPr>
  </w:style>
  <w:style w:type="character" w:styleId="64">
    <w:name w:val="HTML Code"/>
    <w:qFormat/>
    <w:uiPriority w:val="0"/>
    <w:rPr>
      <w:rFonts w:ascii="Courier New" w:hAnsi="Courier New"/>
      <w:sz w:val="20"/>
      <w:szCs w:val="20"/>
    </w:rPr>
  </w:style>
  <w:style w:type="character" w:styleId="65">
    <w:name w:val="annotation reference"/>
    <w:unhideWhenUsed/>
    <w:qFormat/>
    <w:uiPriority w:val="0"/>
    <w:rPr>
      <w:sz w:val="21"/>
      <w:szCs w:val="21"/>
    </w:rPr>
  </w:style>
  <w:style w:type="character" w:styleId="66">
    <w:name w:val="footnote reference"/>
    <w:unhideWhenUsed/>
    <w:qFormat/>
    <w:uiPriority w:val="0"/>
    <w:rPr>
      <w:vertAlign w:val="superscript"/>
    </w:rPr>
  </w:style>
  <w:style w:type="character" w:customStyle="1" w:styleId="67">
    <w:name w:val="正文文本 字符"/>
    <w:basedOn w:val="57"/>
    <w:link w:val="21"/>
    <w:qFormat/>
    <w:uiPriority w:val="0"/>
    <w:rPr>
      <w:rFonts w:ascii="宋体" w:hAnsi="宋体" w:eastAsia="宋体" w:cs="宋体"/>
      <w:kern w:val="0"/>
      <w:sz w:val="24"/>
      <w:szCs w:val="24"/>
    </w:rPr>
  </w:style>
  <w:style w:type="character" w:customStyle="1" w:styleId="68">
    <w:name w:val="正文文本缩进 字符"/>
    <w:basedOn w:val="57"/>
    <w:link w:val="22"/>
    <w:qFormat/>
    <w:uiPriority w:val="0"/>
  </w:style>
  <w:style w:type="character" w:customStyle="1" w:styleId="69">
    <w:name w:val="正文首行缩进 2 字符"/>
    <w:basedOn w:val="68"/>
    <w:link w:val="52"/>
    <w:qFormat/>
    <w:uiPriority w:val="0"/>
  </w:style>
  <w:style w:type="character" w:customStyle="1" w:styleId="70">
    <w:name w:val="正文文本 3 字符"/>
    <w:basedOn w:val="57"/>
    <w:link w:val="19"/>
    <w:qFormat/>
    <w:uiPriority w:val="0"/>
    <w:rPr>
      <w:sz w:val="16"/>
      <w:szCs w:val="16"/>
    </w:rPr>
  </w:style>
  <w:style w:type="character" w:customStyle="1" w:styleId="71">
    <w:name w:val="标题 1 字符"/>
    <w:basedOn w:val="57"/>
    <w:link w:val="3"/>
    <w:qFormat/>
    <w:uiPriority w:val="0"/>
    <w:rPr>
      <w:rFonts w:ascii="Calibri" w:hAnsi="Calibri" w:eastAsia="宋体" w:cs="Times New Roman"/>
      <w:b/>
      <w:kern w:val="44"/>
      <w:sz w:val="44"/>
      <w:szCs w:val="20"/>
    </w:rPr>
  </w:style>
  <w:style w:type="character" w:customStyle="1" w:styleId="72">
    <w:name w:val="标题 2 字符"/>
    <w:basedOn w:val="57"/>
    <w:link w:val="4"/>
    <w:qFormat/>
    <w:uiPriority w:val="0"/>
    <w:rPr>
      <w:rFonts w:ascii="Arial" w:hAnsi="Arial" w:eastAsia="黑体" w:cs="Times New Roman"/>
      <w:b/>
      <w:sz w:val="32"/>
      <w:szCs w:val="20"/>
    </w:rPr>
  </w:style>
  <w:style w:type="character" w:customStyle="1" w:styleId="73">
    <w:name w:val="标题 3 字符"/>
    <w:basedOn w:val="57"/>
    <w:link w:val="5"/>
    <w:qFormat/>
    <w:uiPriority w:val="0"/>
    <w:rPr>
      <w:rFonts w:ascii="Calibri" w:hAnsi="Calibri" w:eastAsia="宋体" w:cs="Times New Roman"/>
      <w:b/>
      <w:sz w:val="32"/>
      <w:szCs w:val="20"/>
    </w:rPr>
  </w:style>
  <w:style w:type="character" w:customStyle="1" w:styleId="74">
    <w:name w:val="标题 4 字符"/>
    <w:basedOn w:val="57"/>
    <w:link w:val="6"/>
    <w:qFormat/>
    <w:uiPriority w:val="0"/>
    <w:rPr>
      <w:rFonts w:ascii="Arial" w:hAnsi="Arial" w:eastAsia="黑体" w:cs="Times New Roman"/>
      <w:b/>
      <w:bCs/>
      <w:sz w:val="28"/>
      <w:szCs w:val="28"/>
    </w:rPr>
  </w:style>
  <w:style w:type="character" w:customStyle="1" w:styleId="75">
    <w:name w:val="标题 5 字符"/>
    <w:basedOn w:val="57"/>
    <w:link w:val="7"/>
    <w:qFormat/>
    <w:uiPriority w:val="0"/>
    <w:rPr>
      <w:rFonts w:ascii="Arial" w:hAnsi="Arial" w:eastAsia="黑体" w:cs="Times New Roman"/>
      <w:bCs/>
      <w:sz w:val="24"/>
      <w:szCs w:val="32"/>
    </w:rPr>
  </w:style>
  <w:style w:type="character" w:customStyle="1" w:styleId="76">
    <w:name w:val="标题 6 字符"/>
    <w:basedOn w:val="57"/>
    <w:link w:val="8"/>
    <w:qFormat/>
    <w:uiPriority w:val="0"/>
    <w:rPr>
      <w:rFonts w:ascii="Arial" w:hAnsi="Arial" w:eastAsia="黑体" w:cs="Times New Roman"/>
      <w:b/>
      <w:bCs/>
      <w:kern w:val="0"/>
      <w:sz w:val="24"/>
      <w:szCs w:val="20"/>
    </w:rPr>
  </w:style>
  <w:style w:type="character" w:customStyle="1" w:styleId="77">
    <w:name w:val="标题 7 字符"/>
    <w:basedOn w:val="57"/>
    <w:link w:val="9"/>
    <w:qFormat/>
    <w:uiPriority w:val="0"/>
    <w:rPr>
      <w:rFonts w:ascii="Calibri" w:hAnsi="Calibri" w:eastAsia="宋体" w:cs="Times New Roman"/>
      <w:b/>
      <w:bCs/>
      <w:kern w:val="0"/>
      <w:sz w:val="24"/>
      <w:szCs w:val="20"/>
    </w:rPr>
  </w:style>
  <w:style w:type="character" w:customStyle="1" w:styleId="78">
    <w:name w:val="标题 8 字符"/>
    <w:basedOn w:val="57"/>
    <w:link w:val="10"/>
    <w:qFormat/>
    <w:uiPriority w:val="0"/>
    <w:rPr>
      <w:rFonts w:ascii="Arial" w:hAnsi="Arial" w:eastAsia="黑体" w:cs="Times New Roman"/>
      <w:kern w:val="0"/>
      <w:sz w:val="24"/>
      <w:szCs w:val="20"/>
    </w:rPr>
  </w:style>
  <w:style w:type="character" w:customStyle="1" w:styleId="79">
    <w:name w:val="标题 9 字符"/>
    <w:basedOn w:val="57"/>
    <w:link w:val="11"/>
    <w:qFormat/>
    <w:uiPriority w:val="0"/>
    <w:rPr>
      <w:rFonts w:ascii="Arial" w:hAnsi="Arial" w:eastAsia="黑体" w:cs="Times New Roman"/>
      <w:kern w:val="0"/>
      <w:sz w:val="20"/>
      <w:szCs w:val="21"/>
    </w:rPr>
  </w:style>
  <w:style w:type="character" w:customStyle="1" w:styleId="80">
    <w:name w:val="明显引用 字符"/>
    <w:link w:val="81"/>
    <w:qFormat/>
    <w:uiPriority w:val="0"/>
    <w:rPr>
      <w:rFonts w:ascii="Calibri" w:hAnsi="Calibri" w:eastAsia="宋体" w:cs="Times New Roman"/>
      <w:b/>
      <w:i/>
      <w:kern w:val="0"/>
      <w:sz w:val="24"/>
    </w:rPr>
  </w:style>
  <w:style w:type="paragraph" w:styleId="81">
    <w:name w:val="Intense Quote"/>
    <w:basedOn w:val="1"/>
    <w:next w:val="1"/>
    <w:link w:val="80"/>
    <w:qFormat/>
    <w:uiPriority w:val="0"/>
    <w:pPr>
      <w:widowControl/>
      <w:ind w:left="720" w:right="720"/>
      <w:jc w:val="left"/>
    </w:pPr>
    <w:rPr>
      <w:rFonts w:ascii="Calibri" w:hAnsi="Calibri" w:eastAsia="宋体" w:cs="Times New Roman"/>
      <w:b/>
      <w:i/>
      <w:kern w:val="0"/>
      <w:sz w:val="24"/>
    </w:rPr>
  </w:style>
  <w:style w:type="character" w:customStyle="1" w:styleId="82">
    <w:name w:val="HTML Markup"/>
    <w:qFormat/>
    <w:uiPriority w:val="0"/>
    <w:rPr>
      <w:vanish/>
      <w:color w:val="FF0000"/>
    </w:rPr>
  </w:style>
  <w:style w:type="character" w:customStyle="1" w:styleId="83">
    <w:name w:val="Char Char17"/>
    <w:qFormat/>
    <w:uiPriority w:val="0"/>
    <w:rPr>
      <w:rFonts w:ascii="Cambria" w:hAnsi="Cambria" w:eastAsia="宋体" w:cs="Times New Roman"/>
      <w:b/>
      <w:bCs/>
      <w:kern w:val="2"/>
      <w:sz w:val="32"/>
      <w:szCs w:val="32"/>
    </w:rPr>
  </w:style>
  <w:style w:type="character" w:customStyle="1" w:styleId="84">
    <w:name w:val="正文文本 Char1"/>
    <w:qFormat/>
    <w:uiPriority w:val="0"/>
    <w:rPr>
      <w:kern w:val="2"/>
      <w:sz w:val="21"/>
      <w:szCs w:val="22"/>
    </w:rPr>
  </w:style>
  <w:style w:type="character" w:customStyle="1" w:styleId="85">
    <w:name w:val="标题 1 Char_1"/>
    <w:link w:val="86"/>
    <w:qFormat/>
    <w:uiPriority w:val="0"/>
    <w:rPr>
      <w:rFonts w:ascii="Times New Roman" w:hAnsi="Times New Roman"/>
      <w:b/>
      <w:kern w:val="44"/>
      <w:sz w:val="44"/>
    </w:rPr>
  </w:style>
  <w:style w:type="paragraph" w:customStyle="1" w:styleId="86">
    <w:name w:val="标题 1_1"/>
    <w:basedOn w:val="87"/>
    <w:next w:val="87"/>
    <w:link w:val="85"/>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87">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88">
    <w:name w:val="font161"/>
    <w:qFormat/>
    <w:uiPriority w:val="0"/>
    <w:rPr>
      <w:b/>
      <w:bCs/>
      <w:sz w:val="32"/>
      <w:szCs w:val="32"/>
    </w:rPr>
  </w:style>
  <w:style w:type="character" w:customStyle="1" w:styleId="89">
    <w:name w:val="不明显强调1"/>
    <w:qFormat/>
    <w:uiPriority w:val="0"/>
    <w:rPr>
      <w:i/>
      <w:color w:val="5A5A5A"/>
    </w:rPr>
  </w:style>
  <w:style w:type="character" w:customStyle="1" w:styleId="90">
    <w:name w:val="标题4 Char Char"/>
    <w:link w:val="91"/>
    <w:qFormat/>
    <w:uiPriority w:val="0"/>
    <w:rPr>
      <w:rFonts w:ascii="Arial" w:hAnsi="Arial"/>
      <w:b/>
      <w:bCs/>
      <w:sz w:val="24"/>
      <w:szCs w:val="32"/>
    </w:rPr>
  </w:style>
  <w:style w:type="paragraph" w:customStyle="1" w:styleId="91">
    <w:name w:val="标题4"/>
    <w:basedOn w:val="4"/>
    <w:next w:val="25"/>
    <w:link w:val="90"/>
    <w:qFormat/>
    <w:uiPriority w:val="0"/>
    <w:rPr>
      <w:rFonts w:eastAsiaTheme="minorEastAsia" w:cstheme="minorBidi"/>
      <w:bCs/>
      <w:sz w:val="24"/>
      <w:szCs w:val="32"/>
    </w:rPr>
  </w:style>
  <w:style w:type="character" w:customStyle="1" w:styleId="92">
    <w:name w:val="Char Char12"/>
    <w:qFormat/>
    <w:locked/>
    <w:uiPriority w:val="0"/>
    <w:rPr>
      <w:rFonts w:eastAsia="宋体"/>
      <w:b/>
      <w:bCs/>
      <w:kern w:val="2"/>
      <w:sz w:val="28"/>
      <w:szCs w:val="28"/>
      <w:lang w:bidi="ar-SA"/>
    </w:rPr>
  </w:style>
  <w:style w:type="character" w:customStyle="1" w:styleId="93">
    <w:name w:val="无间隔 字符"/>
    <w:link w:val="94"/>
    <w:qFormat/>
    <w:locked/>
    <w:uiPriority w:val="0"/>
    <w:rPr>
      <w:sz w:val="22"/>
    </w:rPr>
  </w:style>
  <w:style w:type="paragraph" w:styleId="94">
    <w:name w:val="No Spacing"/>
    <w:link w:val="93"/>
    <w:qFormat/>
    <w:uiPriority w:val="0"/>
    <w:rPr>
      <w:rFonts w:asciiTheme="minorHAnsi" w:hAnsiTheme="minorHAnsi" w:eastAsiaTheme="minorEastAsia" w:cstheme="minorBidi"/>
      <w:kern w:val="2"/>
      <w:sz w:val="22"/>
      <w:szCs w:val="22"/>
      <w:lang w:val="en-US" w:eastAsia="zh-CN" w:bidi="ar-SA"/>
    </w:rPr>
  </w:style>
  <w:style w:type="character" w:customStyle="1" w:styleId="95">
    <w:name w:val="Comment"/>
    <w:qFormat/>
    <w:uiPriority w:val="0"/>
    <w:rPr>
      <w:vanish/>
    </w:rPr>
  </w:style>
  <w:style w:type="character" w:customStyle="1" w:styleId="96">
    <w:name w:val="标题 2 Char_3"/>
    <w:link w:val="97"/>
    <w:qFormat/>
    <w:uiPriority w:val="0"/>
    <w:rPr>
      <w:rFonts w:ascii="Arial" w:hAnsi="Arial" w:eastAsia="黑体"/>
      <w:b/>
      <w:sz w:val="32"/>
    </w:rPr>
  </w:style>
  <w:style w:type="paragraph" w:customStyle="1" w:styleId="97">
    <w:name w:val="标题 2_3"/>
    <w:basedOn w:val="98"/>
    <w:next w:val="98"/>
    <w:link w:val="96"/>
    <w:qFormat/>
    <w:uiPriority w:val="0"/>
    <w:pPr>
      <w:keepNext/>
      <w:keepLines/>
      <w:spacing w:before="260" w:after="260" w:line="413" w:lineRule="auto"/>
      <w:outlineLvl w:val="1"/>
    </w:pPr>
    <w:rPr>
      <w:rFonts w:ascii="Arial" w:hAnsi="Arial" w:eastAsia="黑体" w:cstheme="minorBidi"/>
      <w:b/>
      <w:sz w:val="32"/>
      <w:szCs w:val="22"/>
    </w:rPr>
  </w:style>
  <w:style w:type="paragraph" w:customStyle="1" w:styleId="98">
    <w:name w:val="正文_5"/>
    <w:qFormat/>
    <w:uiPriority w:val="0"/>
    <w:pPr>
      <w:widowControl w:val="0"/>
      <w:jc w:val="both"/>
    </w:pPr>
    <w:rPr>
      <w:rFonts w:ascii="Calibri" w:hAnsi="Calibri" w:eastAsia="宋体" w:cs="Times New Roman"/>
      <w:kern w:val="2"/>
      <w:sz w:val="21"/>
      <w:lang w:val="en-US" w:eastAsia="zh-CN" w:bidi="ar-SA"/>
    </w:rPr>
  </w:style>
  <w:style w:type="character" w:customStyle="1" w:styleId="99">
    <w:name w:val="批注框文本 Char1"/>
    <w:qFormat/>
    <w:uiPriority w:val="0"/>
    <w:rPr>
      <w:kern w:val="2"/>
      <w:sz w:val="18"/>
      <w:szCs w:val="18"/>
    </w:rPr>
  </w:style>
  <w:style w:type="character" w:customStyle="1" w:styleId="100">
    <w:name w:val="副标题 Char1"/>
    <w:qFormat/>
    <w:uiPriority w:val="11"/>
    <w:rPr>
      <w:rFonts w:hint="default" w:ascii="Cambria" w:hAnsi="Cambria" w:cs="Times New Roman"/>
      <w:b/>
      <w:bCs/>
      <w:kern w:val="28"/>
      <w:sz w:val="32"/>
      <w:szCs w:val="32"/>
    </w:rPr>
  </w:style>
  <w:style w:type="character" w:customStyle="1" w:styleId="101">
    <w:name w:val="Char Char5"/>
    <w:qFormat/>
    <w:uiPriority w:val="0"/>
    <w:rPr>
      <w:rFonts w:eastAsia="黑体"/>
      <w:b/>
      <w:bCs/>
      <w:sz w:val="72"/>
      <w:szCs w:val="44"/>
      <w:lang w:val="en-US" w:eastAsia="zh-CN" w:bidi="ar-SA"/>
    </w:rPr>
  </w:style>
  <w:style w:type="character" w:customStyle="1" w:styleId="102">
    <w:name w:val="CODE"/>
    <w:qFormat/>
    <w:uiPriority w:val="0"/>
    <w:rPr>
      <w:rFonts w:ascii="Courier New" w:hAnsi="Courier New"/>
      <w:sz w:val="20"/>
    </w:rPr>
  </w:style>
  <w:style w:type="character" w:customStyle="1" w:styleId="103">
    <w:name w:val="Definition"/>
    <w:qFormat/>
    <w:uiPriority w:val="0"/>
    <w:rPr>
      <w:i/>
    </w:rPr>
  </w:style>
  <w:style w:type="character" w:customStyle="1" w:styleId="104">
    <w:name w:val="样式 Char"/>
    <w:link w:val="105"/>
    <w:qFormat/>
    <w:uiPriority w:val="0"/>
    <w:rPr>
      <w:rFonts w:ascii="Arial" w:hAnsi="Arial" w:eastAsia="黑体" w:cs="Times New Roman"/>
      <w:bCs/>
      <w:sz w:val="24"/>
      <w:szCs w:val="32"/>
    </w:rPr>
  </w:style>
  <w:style w:type="paragraph" w:customStyle="1" w:styleId="105">
    <w:name w:val="样式"/>
    <w:basedOn w:val="106"/>
    <w:link w:val="104"/>
    <w:qFormat/>
    <w:uiPriority w:val="0"/>
    <w:pPr>
      <w:outlineLvl w:val="9"/>
    </w:pPr>
  </w:style>
  <w:style w:type="paragraph" w:customStyle="1" w:styleId="106">
    <w:name w:val="标题5"/>
    <w:basedOn w:val="7"/>
    <w:link w:val="193"/>
    <w:qFormat/>
    <w:uiPriority w:val="0"/>
  </w:style>
  <w:style w:type="character" w:customStyle="1" w:styleId="107">
    <w:name w:val="标题 1 Char_0"/>
    <w:link w:val="108"/>
    <w:qFormat/>
    <w:uiPriority w:val="0"/>
    <w:rPr>
      <w:rFonts w:ascii="Times New Roman" w:hAnsi="Times New Roman"/>
      <w:b/>
      <w:kern w:val="44"/>
      <w:sz w:val="44"/>
    </w:rPr>
  </w:style>
  <w:style w:type="paragraph" w:customStyle="1" w:styleId="108">
    <w:name w:val="标题 1_0"/>
    <w:basedOn w:val="109"/>
    <w:next w:val="109"/>
    <w:link w:val="107"/>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109">
    <w:name w:val="正文_0"/>
    <w:qFormat/>
    <w:uiPriority w:val="0"/>
    <w:pPr>
      <w:widowControl w:val="0"/>
      <w:jc w:val="both"/>
    </w:pPr>
    <w:rPr>
      <w:rFonts w:ascii="Calibri" w:hAnsi="Calibri" w:eastAsia="宋体" w:cs="Times New Roman"/>
      <w:kern w:val="2"/>
      <w:sz w:val="21"/>
      <w:lang w:val="en-US" w:eastAsia="zh-CN" w:bidi="ar-SA"/>
    </w:rPr>
  </w:style>
  <w:style w:type="character" w:customStyle="1" w:styleId="110">
    <w:name w:val="正文文本缩进 3 字符"/>
    <w:link w:val="42"/>
    <w:qFormat/>
    <w:uiPriority w:val="0"/>
    <w:rPr>
      <w:rFonts w:ascii="Calibri" w:hAnsi="Calibri" w:eastAsia="宋体" w:cs="Times New Roman"/>
      <w:sz w:val="16"/>
      <w:szCs w:val="16"/>
    </w:rPr>
  </w:style>
  <w:style w:type="character" w:customStyle="1" w:styleId="111">
    <w:name w:val="ca-41"/>
    <w:qFormat/>
    <w:uiPriority w:val="0"/>
    <w:rPr>
      <w:rFonts w:hint="default" w:ascii="Times New Roman" w:hAnsi="Times New Roman" w:cs="Times New Roman"/>
      <w:color w:val="000000"/>
      <w:sz w:val="21"/>
      <w:szCs w:val="21"/>
    </w:rPr>
  </w:style>
  <w:style w:type="character" w:customStyle="1" w:styleId="112">
    <w:name w:val="CITE"/>
    <w:qFormat/>
    <w:uiPriority w:val="0"/>
    <w:rPr>
      <w:i/>
    </w:rPr>
  </w:style>
  <w:style w:type="character" w:customStyle="1" w:styleId="113">
    <w:name w:val="正文文本 3 Char2"/>
    <w:semiHidden/>
    <w:qFormat/>
    <w:uiPriority w:val="99"/>
    <w:rPr>
      <w:rFonts w:hint="default" w:ascii="Times New Roman" w:hAnsi="Times New Roman" w:cs="Times New Roman"/>
      <w:kern w:val="2"/>
      <w:sz w:val="16"/>
      <w:szCs w:val="16"/>
    </w:rPr>
  </w:style>
  <w:style w:type="character" w:customStyle="1" w:styleId="114">
    <w:name w:val="ca-61"/>
    <w:qFormat/>
    <w:uiPriority w:val="0"/>
    <w:rPr>
      <w:rFonts w:hint="default" w:ascii="Times New Roman" w:hAnsi="Times New Roman" w:cs="Times New Roman"/>
      <w:b/>
      <w:bCs/>
      <w:spacing w:val="-20"/>
      <w:sz w:val="21"/>
      <w:szCs w:val="21"/>
    </w:rPr>
  </w:style>
  <w:style w:type="character" w:customStyle="1" w:styleId="115">
    <w:name w:val="Char Char51"/>
    <w:qFormat/>
    <w:locked/>
    <w:uiPriority w:val="0"/>
    <w:rPr>
      <w:rFonts w:ascii="Calibri" w:hAnsi="Calibri"/>
      <w:kern w:val="2"/>
      <w:sz w:val="21"/>
      <w:szCs w:val="22"/>
      <w:lang w:bidi="ar-SA"/>
    </w:rPr>
  </w:style>
  <w:style w:type="character" w:customStyle="1" w:styleId="116">
    <w:name w:val="标题 2 Char Char"/>
    <w:qFormat/>
    <w:uiPriority w:val="0"/>
    <w:rPr>
      <w:rFonts w:ascii="Arial" w:hAnsi="Arial" w:eastAsia="黑体"/>
      <w:b/>
      <w:bCs/>
      <w:kern w:val="2"/>
      <w:sz w:val="32"/>
      <w:szCs w:val="32"/>
      <w:lang w:val="en-US" w:eastAsia="zh-CN"/>
    </w:rPr>
  </w:style>
  <w:style w:type="character" w:customStyle="1" w:styleId="117">
    <w:name w:val="正文文本缩进 Char1"/>
    <w:semiHidden/>
    <w:qFormat/>
    <w:uiPriority w:val="0"/>
    <w:rPr>
      <w:kern w:val="2"/>
      <w:sz w:val="21"/>
      <w:szCs w:val="22"/>
    </w:rPr>
  </w:style>
  <w:style w:type="character" w:customStyle="1" w:styleId="118">
    <w:name w:val="ca-71"/>
    <w:qFormat/>
    <w:uiPriority w:val="0"/>
    <w:rPr>
      <w:rFonts w:hint="eastAsia" w:ascii="宋体" w:hAnsi="宋体" w:eastAsia="宋体"/>
      <w:sz w:val="18"/>
      <w:szCs w:val="18"/>
    </w:rPr>
  </w:style>
  <w:style w:type="character" w:customStyle="1" w:styleId="119">
    <w:name w:val="content1_0_0"/>
    <w:qFormat/>
    <w:uiPriority w:val="0"/>
    <w:rPr>
      <w:sz w:val="21"/>
      <w:szCs w:val="21"/>
      <w:u w:val="single"/>
    </w:rPr>
  </w:style>
  <w:style w:type="character" w:customStyle="1" w:styleId="120">
    <w:name w:val="日期 Char1"/>
    <w:qFormat/>
    <w:uiPriority w:val="0"/>
    <w:rPr>
      <w:kern w:val="2"/>
      <w:sz w:val="21"/>
      <w:szCs w:val="22"/>
    </w:rPr>
  </w:style>
  <w:style w:type="character" w:customStyle="1" w:styleId="121">
    <w:name w:val="Char Char8"/>
    <w:qFormat/>
    <w:uiPriority w:val="0"/>
    <w:rPr>
      <w:rFonts w:ascii="Arial" w:hAnsi="Arial" w:eastAsia="黑体"/>
      <w:b/>
      <w:bCs/>
      <w:kern w:val="2"/>
      <w:sz w:val="32"/>
      <w:szCs w:val="32"/>
      <w:lang w:val="en-US" w:eastAsia="zh-CN" w:bidi="ar-SA"/>
    </w:rPr>
  </w:style>
  <w:style w:type="character" w:customStyle="1" w:styleId="122">
    <w:name w:val="grame"/>
    <w:qFormat/>
    <w:uiPriority w:val="0"/>
  </w:style>
  <w:style w:type="character" w:customStyle="1" w:styleId="123">
    <w:name w:val="bottom"/>
    <w:qFormat/>
    <w:uiPriority w:val="0"/>
  </w:style>
  <w:style w:type="character" w:customStyle="1" w:styleId="124">
    <w:name w:val="content1_0"/>
    <w:qFormat/>
    <w:uiPriority w:val="0"/>
    <w:rPr>
      <w:sz w:val="21"/>
      <w:szCs w:val="21"/>
      <w:u w:val="single"/>
    </w:rPr>
  </w:style>
  <w:style w:type="character" w:customStyle="1" w:styleId="125">
    <w:name w:val="批注框文本 字符"/>
    <w:link w:val="34"/>
    <w:qFormat/>
    <w:uiPriority w:val="99"/>
    <w:rPr>
      <w:rFonts w:ascii="Calibri" w:hAnsi="Calibri" w:eastAsia="宋体" w:cs="Times New Roman"/>
      <w:sz w:val="18"/>
      <w:szCs w:val="18"/>
    </w:rPr>
  </w:style>
  <w:style w:type="character" w:customStyle="1" w:styleId="126">
    <w:name w:val="textcontents"/>
    <w:qFormat/>
    <w:uiPriority w:val="0"/>
  </w:style>
  <w:style w:type="character" w:customStyle="1" w:styleId="127">
    <w:name w:val="Char Char"/>
    <w:qFormat/>
    <w:uiPriority w:val="0"/>
    <w:rPr>
      <w:rFonts w:eastAsia="宋体"/>
      <w:b/>
      <w:bCs/>
      <w:kern w:val="2"/>
      <w:sz w:val="21"/>
      <w:szCs w:val="24"/>
      <w:lang w:val="en-US" w:eastAsia="zh-CN" w:bidi="ar-SA"/>
    </w:rPr>
  </w:style>
  <w:style w:type="character" w:customStyle="1" w:styleId="128">
    <w:name w:val="标题 2 Char_1"/>
    <w:link w:val="129"/>
    <w:qFormat/>
    <w:uiPriority w:val="0"/>
    <w:rPr>
      <w:rFonts w:ascii="Arial" w:hAnsi="Arial" w:eastAsia="黑体"/>
      <w:b/>
      <w:bCs/>
      <w:sz w:val="32"/>
      <w:szCs w:val="32"/>
    </w:rPr>
  </w:style>
  <w:style w:type="paragraph" w:customStyle="1" w:styleId="129">
    <w:name w:val="标题 2_1"/>
    <w:basedOn w:val="130"/>
    <w:next w:val="130"/>
    <w:link w:val="12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0">
    <w:name w:val="正文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1">
    <w:name w:val="样式 正文缩进正文（首行缩进两字）特点ALT+Z表正文正文非缩进四号段1Normal Indent Char2... Char"/>
    <w:qFormat/>
    <w:uiPriority w:val="0"/>
    <w:rPr>
      <w:rFonts w:hint="eastAsia" w:ascii="宋体" w:hAnsi="宋体" w:eastAsia="黑体"/>
      <w:b/>
      <w:sz w:val="32"/>
      <w:lang w:val="en-US" w:eastAsia="zh-CN"/>
    </w:rPr>
  </w:style>
  <w:style w:type="character" w:customStyle="1" w:styleId="132">
    <w:name w:val="标题 2 Char_1_0"/>
    <w:link w:val="133"/>
    <w:qFormat/>
    <w:uiPriority w:val="0"/>
    <w:rPr>
      <w:rFonts w:ascii="Arial" w:hAnsi="Arial" w:eastAsia="黑体"/>
      <w:b/>
      <w:bCs/>
      <w:sz w:val="32"/>
      <w:szCs w:val="32"/>
    </w:rPr>
  </w:style>
  <w:style w:type="paragraph" w:customStyle="1" w:styleId="133">
    <w:name w:val="标题 2_1_0"/>
    <w:basedOn w:val="134"/>
    <w:next w:val="134"/>
    <w:link w:val="132"/>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5">
    <w:name w:val="书籍标题1"/>
    <w:qFormat/>
    <w:uiPriority w:val="0"/>
    <w:rPr>
      <w:rFonts w:hint="default" w:ascii="Cambria" w:hAnsi="Cambria" w:eastAsia="宋体"/>
      <w:b/>
      <w:i/>
      <w:sz w:val="24"/>
      <w:szCs w:val="24"/>
    </w:rPr>
  </w:style>
  <w:style w:type="character" w:customStyle="1" w:styleId="136">
    <w:name w:val="z-窗体顶端 字符"/>
    <w:link w:val="137"/>
    <w:qFormat/>
    <w:uiPriority w:val="0"/>
    <w:rPr>
      <w:rFonts w:ascii="Arial" w:hAnsi="Arial" w:cs="Arial"/>
      <w:vanish/>
      <w:sz w:val="16"/>
      <w:szCs w:val="16"/>
    </w:rPr>
  </w:style>
  <w:style w:type="paragraph" w:customStyle="1" w:styleId="137">
    <w:name w:val="z-窗体顶端1"/>
    <w:basedOn w:val="1"/>
    <w:next w:val="1"/>
    <w:link w:val="136"/>
    <w:qFormat/>
    <w:uiPriority w:val="0"/>
    <w:pPr>
      <w:pBdr>
        <w:bottom w:val="single" w:color="auto" w:sz="6" w:space="1"/>
      </w:pBdr>
      <w:jc w:val="center"/>
    </w:pPr>
    <w:rPr>
      <w:rFonts w:ascii="Arial" w:hAnsi="Arial" w:cs="Arial"/>
      <w:vanish/>
      <w:sz w:val="16"/>
      <w:szCs w:val="16"/>
    </w:rPr>
  </w:style>
  <w:style w:type="character" w:customStyle="1" w:styleId="138">
    <w:name w:val="标题 1 Char_2"/>
    <w:link w:val="139"/>
    <w:qFormat/>
    <w:uiPriority w:val="0"/>
    <w:rPr>
      <w:rFonts w:cs="宋体"/>
      <w:b/>
      <w:bCs/>
      <w:kern w:val="44"/>
      <w:sz w:val="44"/>
      <w:szCs w:val="44"/>
    </w:rPr>
  </w:style>
  <w:style w:type="paragraph" w:customStyle="1" w:styleId="139">
    <w:name w:val="标题 1_2"/>
    <w:basedOn w:val="140"/>
    <w:next w:val="140"/>
    <w:link w:val="138"/>
    <w:qFormat/>
    <w:uiPriority w:val="0"/>
    <w:pPr>
      <w:keepNext/>
      <w:keepLines/>
      <w:pageBreakBefore/>
      <w:spacing w:line="360" w:lineRule="auto"/>
      <w:jc w:val="center"/>
      <w:outlineLvl w:val="0"/>
    </w:pPr>
    <w:rPr>
      <w:rFonts w:cs="宋体" w:asciiTheme="minorHAnsi" w:hAnsiTheme="minorHAnsi" w:eastAsiaTheme="minorEastAsia"/>
      <w:b/>
      <w:bCs/>
      <w:kern w:val="44"/>
      <w:sz w:val="44"/>
      <w:szCs w:val="44"/>
    </w:rPr>
  </w:style>
  <w:style w:type="paragraph" w:customStyle="1" w:styleId="14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1">
    <w:name w:val="Char Char7"/>
    <w:qFormat/>
    <w:locked/>
    <w:uiPriority w:val="0"/>
    <w:rPr>
      <w:rFonts w:ascii="Arial" w:hAnsi="Arial" w:eastAsia="黑体"/>
      <w:kern w:val="2"/>
      <w:sz w:val="21"/>
      <w:szCs w:val="21"/>
      <w:lang w:bidi="ar-SA"/>
    </w:rPr>
  </w:style>
  <w:style w:type="character" w:customStyle="1" w:styleId="142">
    <w:name w:val="脚注文本 字符"/>
    <w:link w:val="40"/>
    <w:qFormat/>
    <w:uiPriority w:val="0"/>
    <w:rPr>
      <w:rFonts w:ascii="Calibri" w:hAnsi="Calibri" w:eastAsia="宋体" w:cs="Times New Roman"/>
      <w:sz w:val="20"/>
      <w:szCs w:val="20"/>
    </w:rPr>
  </w:style>
  <w:style w:type="character" w:customStyle="1" w:styleId="143">
    <w:name w:val="Char Char9_0"/>
    <w:qFormat/>
    <w:locked/>
    <w:uiPriority w:val="0"/>
    <w:rPr>
      <w:rFonts w:eastAsia="宋体"/>
      <w:b/>
      <w:bCs/>
      <w:kern w:val="2"/>
      <w:sz w:val="24"/>
      <w:szCs w:val="24"/>
      <w:lang w:bidi="ar-SA"/>
    </w:rPr>
  </w:style>
  <w:style w:type="character" w:customStyle="1" w:styleId="144">
    <w:name w:val="font11_0"/>
    <w:qFormat/>
    <w:uiPriority w:val="0"/>
    <w:rPr>
      <w:rFonts w:hint="eastAsia" w:ascii="宋体" w:hAnsi="宋体" w:eastAsia="宋体" w:cs="宋体"/>
      <w:color w:val="000000"/>
      <w:sz w:val="20"/>
      <w:szCs w:val="20"/>
    </w:rPr>
  </w:style>
  <w:style w:type="character" w:customStyle="1" w:styleId="145">
    <w:name w:val="ca-11"/>
    <w:qFormat/>
    <w:uiPriority w:val="0"/>
    <w:rPr>
      <w:rFonts w:hint="default" w:ascii="Times New Roman" w:hAnsi="Times New Roman" w:cs="Times New Roman"/>
      <w:sz w:val="28"/>
      <w:szCs w:val="28"/>
    </w:rPr>
  </w:style>
  <w:style w:type="character" w:customStyle="1" w:styleId="146">
    <w:name w:val="页码1"/>
    <w:qFormat/>
    <w:uiPriority w:val="0"/>
  </w:style>
  <w:style w:type="character" w:customStyle="1" w:styleId="147">
    <w:name w:val="标题 字符"/>
    <w:link w:val="49"/>
    <w:qFormat/>
    <w:uiPriority w:val="0"/>
    <w:rPr>
      <w:rFonts w:ascii="Arial" w:hAnsi="Arial" w:eastAsia="宋体" w:cs="Times New Roman"/>
      <w:b/>
      <w:kern w:val="0"/>
      <w:sz w:val="32"/>
      <w:szCs w:val="20"/>
    </w:rPr>
  </w:style>
  <w:style w:type="character" w:customStyle="1" w:styleId="148">
    <w:name w:val="Char Char9"/>
    <w:qFormat/>
    <w:uiPriority w:val="0"/>
    <w:rPr>
      <w:kern w:val="2"/>
      <w:sz w:val="21"/>
      <w:szCs w:val="22"/>
    </w:rPr>
  </w:style>
  <w:style w:type="character" w:customStyle="1" w:styleId="149">
    <w:name w:val="批注主题 Char1"/>
    <w:qFormat/>
    <w:uiPriority w:val="0"/>
    <w:rPr>
      <w:b/>
      <w:bCs/>
      <w:kern w:val="2"/>
      <w:sz w:val="21"/>
      <w:szCs w:val="22"/>
    </w:rPr>
  </w:style>
  <w:style w:type="character" w:customStyle="1" w:styleId="150">
    <w:name w:val="标题5 Char Char"/>
    <w:qFormat/>
    <w:uiPriority w:val="0"/>
    <w:rPr>
      <w:rFonts w:ascii="Arial" w:hAnsi="Arial"/>
      <w:b/>
      <w:bCs/>
      <w:sz w:val="24"/>
      <w:szCs w:val="32"/>
      <w:lang w:bidi="ar-SA"/>
    </w:rPr>
  </w:style>
  <w:style w:type="character" w:customStyle="1" w:styleId="151">
    <w:name w:val="Char Char33"/>
    <w:qFormat/>
    <w:uiPriority w:val="0"/>
    <w:rPr>
      <w:rFonts w:ascii="Arial" w:hAnsi="Arial" w:eastAsia="黑体"/>
      <w:b/>
      <w:kern w:val="2"/>
      <w:sz w:val="32"/>
      <w:lang w:bidi="ar-SA"/>
    </w:rPr>
  </w:style>
  <w:style w:type="character" w:customStyle="1" w:styleId="152">
    <w:name w:val="文档结构图 Char1"/>
    <w:qFormat/>
    <w:uiPriority w:val="0"/>
    <w:rPr>
      <w:rFonts w:ascii="宋体"/>
      <w:kern w:val="2"/>
      <w:sz w:val="18"/>
      <w:szCs w:val="18"/>
    </w:rPr>
  </w:style>
  <w:style w:type="character" w:customStyle="1" w:styleId="153">
    <w:name w:val="标题6 Char"/>
    <w:link w:val="154"/>
    <w:qFormat/>
    <w:uiPriority w:val="0"/>
    <w:rPr>
      <w:rFonts w:ascii="宋体" w:hAnsi="宋体" w:eastAsia="黑体" w:cs="宋体"/>
      <w:sz w:val="32"/>
      <w:szCs w:val="32"/>
    </w:rPr>
  </w:style>
  <w:style w:type="paragraph" w:customStyle="1" w:styleId="154">
    <w:name w:val="标题6"/>
    <w:basedOn w:val="1"/>
    <w:link w:val="153"/>
    <w:qFormat/>
    <w:uiPriority w:val="0"/>
    <w:pPr>
      <w:keepNext/>
      <w:keepLines/>
      <w:spacing w:line="400" w:lineRule="exact"/>
      <w:jc w:val="center"/>
      <w:outlineLvl w:val="2"/>
    </w:pPr>
    <w:rPr>
      <w:rFonts w:ascii="宋体" w:hAnsi="宋体" w:eastAsia="黑体" w:cs="宋体"/>
      <w:sz w:val="32"/>
      <w:szCs w:val="32"/>
    </w:rPr>
  </w:style>
  <w:style w:type="character" w:customStyle="1" w:styleId="155">
    <w:name w:val="Char Char11_0"/>
    <w:qFormat/>
    <w:uiPriority w:val="0"/>
    <w:rPr>
      <w:rFonts w:ascii="Cambria" w:hAnsi="Cambria" w:eastAsia="宋体" w:cs="Times New Roman"/>
      <w:kern w:val="2"/>
      <w:sz w:val="24"/>
      <w:szCs w:val="24"/>
    </w:rPr>
  </w:style>
  <w:style w:type="character" w:customStyle="1" w:styleId="156">
    <w:name w:val="Char Char11"/>
    <w:qFormat/>
    <w:uiPriority w:val="0"/>
    <w:rPr>
      <w:rFonts w:hint="default" w:ascii="Cambria" w:hAnsi="Cambria" w:eastAsia="宋体"/>
      <w:b/>
      <w:bCs/>
      <w:kern w:val="32"/>
      <w:sz w:val="32"/>
      <w:szCs w:val="32"/>
    </w:rPr>
  </w:style>
  <w:style w:type="character" w:customStyle="1" w:styleId="157">
    <w:name w:val="Char Char Char"/>
    <w:qFormat/>
    <w:locked/>
    <w:uiPriority w:val="0"/>
    <w:rPr>
      <w:rFonts w:eastAsia="黑体"/>
      <w:bCs/>
      <w:sz w:val="28"/>
      <w:szCs w:val="32"/>
      <w:lang w:val="en-US" w:eastAsia="zh-CN" w:bidi="ar-SA"/>
    </w:rPr>
  </w:style>
  <w:style w:type="character" w:customStyle="1" w:styleId="158">
    <w:name w:val="标题 2 Char_0_0"/>
    <w:link w:val="159"/>
    <w:qFormat/>
    <w:uiPriority w:val="0"/>
    <w:rPr>
      <w:rFonts w:ascii="Arial" w:hAnsi="Arial" w:eastAsia="黑体"/>
      <w:b/>
      <w:bCs/>
      <w:sz w:val="32"/>
      <w:szCs w:val="32"/>
    </w:rPr>
  </w:style>
  <w:style w:type="paragraph" w:customStyle="1" w:styleId="159">
    <w:name w:val="标题 2_0_0"/>
    <w:basedOn w:val="160"/>
    <w:next w:val="160"/>
    <w:link w:val="15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60">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1">
    <w:name w:val="ca-21"/>
    <w:qFormat/>
    <w:uiPriority w:val="0"/>
    <w:rPr>
      <w:rFonts w:hint="eastAsia" w:ascii="黑体" w:eastAsia="黑体"/>
      <w:sz w:val="28"/>
      <w:szCs w:val="28"/>
    </w:rPr>
  </w:style>
  <w:style w:type="character" w:customStyle="1" w:styleId="162">
    <w:name w:val="Char Char81"/>
    <w:qFormat/>
    <w:uiPriority w:val="0"/>
    <w:rPr>
      <w:rFonts w:hint="default" w:ascii="Arial" w:hAnsi="Arial" w:eastAsia="黑体" w:cs="Arial"/>
      <w:b/>
      <w:bCs/>
      <w:kern w:val="2"/>
      <w:sz w:val="32"/>
      <w:szCs w:val="32"/>
      <w:lang w:val="en-US" w:eastAsia="zh-CN" w:bidi="ar-SA"/>
    </w:rPr>
  </w:style>
  <w:style w:type="character" w:customStyle="1" w:styleId="163">
    <w:name w:val="Char Char3"/>
    <w:qFormat/>
    <w:locked/>
    <w:uiPriority w:val="0"/>
    <w:rPr>
      <w:rFonts w:ascii="Calibri" w:hAnsi="Calibri" w:eastAsia="宋体"/>
      <w:kern w:val="2"/>
      <w:sz w:val="18"/>
      <w:szCs w:val="18"/>
      <w:lang w:val="en-US" w:eastAsia="zh-CN" w:bidi="ar-SA"/>
    </w:rPr>
  </w:style>
  <w:style w:type="character" w:customStyle="1" w:styleId="164">
    <w:name w:val="标题 3 Char_0"/>
    <w:link w:val="165"/>
    <w:qFormat/>
    <w:uiPriority w:val="0"/>
    <w:rPr>
      <w:rFonts w:ascii="Times New Roman" w:hAnsi="Times New Roman"/>
      <w:b/>
      <w:sz w:val="32"/>
    </w:rPr>
  </w:style>
  <w:style w:type="paragraph" w:customStyle="1" w:styleId="165">
    <w:name w:val="标题 3_1"/>
    <w:basedOn w:val="109"/>
    <w:next w:val="109"/>
    <w:link w:val="164"/>
    <w:qFormat/>
    <w:uiPriority w:val="0"/>
    <w:pPr>
      <w:keepNext/>
      <w:keepLines/>
      <w:spacing w:before="260" w:after="260" w:line="413" w:lineRule="auto"/>
      <w:outlineLvl w:val="2"/>
    </w:pPr>
    <w:rPr>
      <w:rFonts w:ascii="Times New Roman" w:hAnsi="Times New Roman" w:eastAsiaTheme="minorEastAsia" w:cstheme="minorBidi"/>
      <w:b/>
      <w:sz w:val="32"/>
      <w:szCs w:val="22"/>
    </w:rPr>
  </w:style>
  <w:style w:type="character" w:customStyle="1" w:styleId="166">
    <w:name w:val="不明显参考1"/>
    <w:qFormat/>
    <w:uiPriority w:val="0"/>
    <w:rPr>
      <w:sz w:val="30"/>
      <w:szCs w:val="24"/>
      <w:u w:val="none"/>
    </w:rPr>
  </w:style>
  <w:style w:type="character" w:customStyle="1" w:styleId="167">
    <w:name w:val="Sample"/>
    <w:qFormat/>
    <w:uiPriority w:val="0"/>
    <w:rPr>
      <w:rFonts w:ascii="Courier New" w:hAnsi="Courier New"/>
    </w:rPr>
  </w:style>
  <w:style w:type="character" w:customStyle="1" w:styleId="168">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169">
    <w:name w:val="Char Char13"/>
    <w:qFormat/>
    <w:locked/>
    <w:uiPriority w:val="0"/>
    <w:rPr>
      <w:rFonts w:eastAsia="宋体"/>
      <w:b/>
      <w:bCs/>
      <w:kern w:val="2"/>
      <w:sz w:val="32"/>
      <w:szCs w:val="32"/>
      <w:lang w:bidi="ar-SA"/>
    </w:rPr>
  </w:style>
  <w:style w:type="character" w:customStyle="1" w:styleId="170">
    <w:name w:val="Char Char15_0"/>
    <w:qFormat/>
    <w:locked/>
    <w:uiPriority w:val="0"/>
    <w:rPr>
      <w:rFonts w:eastAsia="宋体"/>
      <w:b/>
      <w:bCs/>
      <w:kern w:val="44"/>
      <w:sz w:val="44"/>
      <w:szCs w:val="44"/>
      <w:lang w:bidi="ar-SA"/>
    </w:rPr>
  </w:style>
  <w:style w:type="character" w:customStyle="1" w:styleId="171">
    <w:name w:val="Char Char21"/>
    <w:qFormat/>
    <w:uiPriority w:val="0"/>
    <w:rPr>
      <w:rFonts w:ascii="黑体" w:hAnsi="宋体" w:eastAsia="黑体" w:cs="Arial"/>
      <w:b/>
      <w:bCs/>
      <w:sz w:val="30"/>
      <w:szCs w:val="24"/>
    </w:rPr>
  </w:style>
  <w:style w:type="character" w:customStyle="1" w:styleId="172">
    <w:name w:val="纯文本 Char1"/>
    <w:qFormat/>
    <w:uiPriority w:val="99"/>
    <w:rPr>
      <w:rFonts w:ascii="宋体" w:hAnsi="Courier New" w:cs="Courier New"/>
      <w:kern w:val="2"/>
      <w:sz w:val="21"/>
      <w:szCs w:val="21"/>
    </w:rPr>
  </w:style>
  <w:style w:type="character" w:customStyle="1" w:styleId="173">
    <w:name w:val="正文文本 3 Char1"/>
    <w:qFormat/>
    <w:locked/>
    <w:uiPriority w:val="0"/>
    <w:rPr>
      <w:sz w:val="16"/>
      <w:lang w:eastAsia="en-US" w:bidi="en-US"/>
    </w:rPr>
  </w:style>
  <w:style w:type="character" w:customStyle="1" w:styleId="174">
    <w:name w:val="Typewriter"/>
    <w:qFormat/>
    <w:uiPriority w:val="0"/>
    <w:rPr>
      <w:rFonts w:ascii="Courier New" w:hAnsi="Courier New"/>
      <w:sz w:val="20"/>
    </w:rPr>
  </w:style>
  <w:style w:type="character" w:customStyle="1" w:styleId="175">
    <w:name w:val="页眉 字符"/>
    <w:link w:val="36"/>
    <w:qFormat/>
    <w:uiPriority w:val="0"/>
    <w:rPr>
      <w:sz w:val="18"/>
      <w:szCs w:val="18"/>
    </w:rPr>
  </w:style>
  <w:style w:type="character" w:customStyle="1" w:styleId="176">
    <w:name w:val="引用 字符"/>
    <w:link w:val="177"/>
    <w:qFormat/>
    <w:uiPriority w:val="0"/>
    <w:rPr>
      <w:rFonts w:ascii="Calibri" w:hAnsi="Calibri" w:eastAsia="宋体" w:cs="Times New Roman"/>
      <w:i/>
      <w:kern w:val="0"/>
      <w:sz w:val="24"/>
    </w:rPr>
  </w:style>
  <w:style w:type="paragraph" w:styleId="177">
    <w:name w:val="Quote"/>
    <w:basedOn w:val="1"/>
    <w:next w:val="1"/>
    <w:link w:val="176"/>
    <w:qFormat/>
    <w:uiPriority w:val="0"/>
    <w:pPr>
      <w:widowControl/>
      <w:jc w:val="left"/>
    </w:pPr>
    <w:rPr>
      <w:rFonts w:ascii="Calibri" w:hAnsi="Calibri" w:eastAsia="宋体" w:cs="Times New Roman"/>
      <w:i/>
      <w:kern w:val="0"/>
      <w:sz w:val="24"/>
    </w:rPr>
  </w:style>
  <w:style w:type="character" w:customStyle="1" w:styleId="178">
    <w:name w:val="Char Char16_0"/>
    <w:qFormat/>
    <w:uiPriority w:val="0"/>
    <w:rPr>
      <w:b/>
      <w:bCs/>
      <w:kern w:val="2"/>
      <w:sz w:val="32"/>
      <w:szCs w:val="32"/>
    </w:rPr>
  </w:style>
  <w:style w:type="character" w:customStyle="1" w:styleId="179">
    <w:name w:val="纯文本 字符"/>
    <w:link w:val="28"/>
    <w:qFormat/>
    <w:uiPriority w:val="99"/>
    <w:rPr>
      <w:rFonts w:ascii="Courier New" w:hAnsi="Courier New" w:eastAsia="宋体" w:cs="Times New Roman"/>
      <w:szCs w:val="20"/>
    </w:rPr>
  </w:style>
  <w:style w:type="character" w:customStyle="1" w:styleId="180">
    <w:name w:val="Char Char2"/>
    <w:qFormat/>
    <w:uiPriority w:val="0"/>
    <w:rPr>
      <w:rFonts w:hint="eastAsia" w:ascii="宋体" w:hAnsi="宋体" w:eastAsia="宋体"/>
      <w:kern w:val="2"/>
      <w:sz w:val="21"/>
      <w:szCs w:val="24"/>
      <w:lang w:val="en-US" w:eastAsia="zh-CN" w:bidi="ar-SA"/>
    </w:rPr>
  </w:style>
  <w:style w:type="character" w:customStyle="1" w:styleId="181">
    <w:name w:val="font11"/>
    <w:qFormat/>
    <w:uiPriority w:val="0"/>
    <w:rPr>
      <w:rFonts w:hint="eastAsia" w:ascii="宋体" w:hAnsi="宋体" w:eastAsia="宋体" w:cs="宋体"/>
      <w:color w:val="000000"/>
      <w:sz w:val="20"/>
      <w:szCs w:val="20"/>
    </w:rPr>
  </w:style>
  <w:style w:type="character" w:customStyle="1" w:styleId="182">
    <w:name w:val="引用 Char1"/>
    <w:qFormat/>
    <w:uiPriority w:val="29"/>
    <w:rPr>
      <w:rFonts w:hint="default" w:ascii="Times New Roman" w:hAnsi="Times New Roman" w:cs="Times New Roman"/>
      <w:i/>
      <w:iCs/>
      <w:color w:val="000000"/>
      <w:kern w:val="2"/>
      <w:sz w:val="21"/>
      <w:szCs w:val="24"/>
    </w:rPr>
  </w:style>
  <w:style w:type="character" w:customStyle="1" w:styleId="183">
    <w:name w:val="Char Char34"/>
    <w:qFormat/>
    <w:uiPriority w:val="0"/>
    <w:rPr>
      <w:rFonts w:eastAsia="宋体"/>
      <w:b/>
      <w:kern w:val="44"/>
      <w:sz w:val="44"/>
      <w:lang w:bidi="ar-SA"/>
    </w:rPr>
  </w:style>
  <w:style w:type="character" w:customStyle="1" w:styleId="184">
    <w:name w:val="Keyboard"/>
    <w:qFormat/>
    <w:uiPriority w:val="0"/>
    <w:rPr>
      <w:rFonts w:ascii="Courier New" w:hAnsi="Courier New"/>
      <w:b/>
      <w:sz w:val="20"/>
    </w:rPr>
  </w:style>
  <w:style w:type="character" w:customStyle="1" w:styleId="185">
    <w:name w:val="正文文本 2 字符"/>
    <w:link w:val="46"/>
    <w:qFormat/>
    <w:uiPriority w:val="0"/>
    <w:rPr>
      <w:rFonts w:ascii="Times New Roman" w:hAnsi="宋体" w:eastAsia="方正小标宋_GBK" w:cs="Times New Roman"/>
      <w:spacing w:val="-20"/>
      <w:kern w:val="0"/>
      <w:sz w:val="44"/>
      <w:szCs w:val="32"/>
    </w:rPr>
  </w:style>
  <w:style w:type="character" w:customStyle="1" w:styleId="186">
    <w:name w:val="批注文字 Char Char"/>
    <w:qFormat/>
    <w:uiPriority w:val="0"/>
    <w:rPr>
      <w:rFonts w:ascii="宋体" w:hAnsi="Times New Roman" w:eastAsia="宋体" w:cs="Times New Roman"/>
      <w:sz w:val="28"/>
      <w:szCs w:val="20"/>
    </w:rPr>
  </w:style>
  <w:style w:type="character" w:customStyle="1" w:styleId="187">
    <w:name w:val="ca-51"/>
    <w:qFormat/>
    <w:uiPriority w:val="0"/>
    <w:rPr>
      <w:rFonts w:hint="eastAsia" w:ascii="宋体" w:hAnsi="宋体" w:eastAsia="宋体"/>
      <w:b/>
      <w:bCs/>
      <w:spacing w:val="-20"/>
      <w:sz w:val="21"/>
      <w:szCs w:val="21"/>
    </w:rPr>
  </w:style>
  <w:style w:type="character" w:customStyle="1" w:styleId="188">
    <w:name w:val="content1"/>
    <w:qFormat/>
    <w:uiPriority w:val="0"/>
    <w:rPr>
      <w:sz w:val="21"/>
      <w:szCs w:val="21"/>
      <w:u w:val="single"/>
    </w:rPr>
  </w:style>
  <w:style w:type="character" w:customStyle="1" w:styleId="189">
    <w:name w:val="Char Char14"/>
    <w:qFormat/>
    <w:locked/>
    <w:uiPriority w:val="0"/>
    <w:rPr>
      <w:rFonts w:eastAsia="宋体"/>
      <w:b/>
      <w:bCs/>
      <w:kern w:val="2"/>
      <w:sz w:val="32"/>
      <w:szCs w:val="32"/>
      <w:lang w:bidi="ar-SA"/>
    </w:rPr>
  </w:style>
  <w:style w:type="character" w:customStyle="1" w:styleId="190">
    <w:name w:val="尾注文本 Char1"/>
    <w:semiHidden/>
    <w:qFormat/>
    <w:uiPriority w:val="99"/>
    <w:rPr>
      <w:rFonts w:ascii="Calibri" w:hAnsi="Calibri" w:eastAsia="宋体" w:cs="Times New Roman"/>
    </w:rPr>
  </w:style>
  <w:style w:type="character" w:customStyle="1" w:styleId="191">
    <w:name w:val="尾注文本 字符"/>
    <w:link w:val="33"/>
    <w:qFormat/>
    <w:uiPriority w:val="0"/>
    <w:rPr>
      <w:szCs w:val="24"/>
    </w:rPr>
  </w:style>
  <w:style w:type="character" w:customStyle="1" w:styleId="192">
    <w:name w:val="Char Char1"/>
    <w:qFormat/>
    <w:uiPriority w:val="0"/>
    <w:rPr>
      <w:rFonts w:ascii="黑体" w:hAnsi="Arial" w:eastAsia="黑体" w:cs="Arial"/>
      <w:b/>
      <w:bCs/>
      <w:kern w:val="2"/>
      <w:sz w:val="32"/>
      <w:szCs w:val="32"/>
      <w:lang w:val="en-US" w:eastAsia="zh-CN" w:bidi="ar-SA"/>
    </w:rPr>
  </w:style>
  <w:style w:type="character" w:customStyle="1" w:styleId="193">
    <w:name w:val="标题5 Char"/>
    <w:link w:val="106"/>
    <w:qFormat/>
    <w:uiPriority w:val="0"/>
    <w:rPr>
      <w:rFonts w:ascii="Arial" w:hAnsi="Arial" w:eastAsia="黑体" w:cs="Times New Roman"/>
      <w:bCs/>
      <w:sz w:val="24"/>
      <w:szCs w:val="32"/>
    </w:rPr>
  </w:style>
  <w:style w:type="character" w:customStyle="1" w:styleId="194">
    <w:name w:val="标题 2 Char1"/>
    <w:qFormat/>
    <w:locked/>
    <w:uiPriority w:val="0"/>
    <w:rPr>
      <w:rFonts w:ascii="Arial" w:hAnsi="Arial" w:eastAsia="黑体"/>
      <w:b/>
      <w:bCs/>
      <w:sz w:val="32"/>
      <w:szCs w:val="32"/>
    </w:rPr>
  </w:style>
  <w:style w:type="character" w:customStyle="1" w:styleId="195">
    <w:name w:val="Char Char18_0"/>
    <w:qFormat/>
    <w:uiPriority w:val="0"/>
    <w:rPr>
      <w:b/>
      <w:bCs/>
      <w:kern w:val="44"/>
      <w:sz w:val="44"/>
      <w:szCs w:val="44"/>
    </w:rPr>
  </w:style>
  <w:style w:type="character" w:customStyle="1" w:styleId="196">
    <w:name w:val="正文文本缩进 2 字符"/>
    <w:link w:val="32"/>
    <w:qFormat/>
    <w:uiPriority w:val="0"/>
    <w:rPr>
      <w:rFonts w:ascii="Times New Roman" w:hAnsi="Times New Roman" w:eastAsia="宋体" w:cs="Times New Roman"/>
      <w:color w:val="000000"/>
      <w:kern w:val="0"/>
      <w:sz w:val="24"/>
      <w:szCs w:val="20"/>
    </w:rPr>
  </w:style>
  <w:style w:type="character" w:customStyle="1" w:styleId="197">
    <w:name w:val="Char Char16"/>
    <w:qFormat/>
    <w:uiPriority w:val="0"/>
    <w:rPr>
      <w:b/>
      <w:bCs/>
      <w:kern w:val="2"/>
      <w:sz w:val="32"/>
      <w:szCs w:val="32"/>
    </w:rPr>
  </w:style>
  <w:style w:type="character" w:customStyle="1" w:styleId="198">
    <w:name w:val="超链接_0"/>
    <w:unhideWhenUsed/>
    <w:qFormat/>
    <w:uiPriority w:val="0"/>
    <w:rPr>
      <w:color w:val="0000FF"/>
      <w:u w:val="single"/>
    </w:rPr>
  </w:style>
  <w:style w:type="character" w:customStyle="1" w:styleId="199">
    <w:name w:val="Char Char18"/>
    <w:qFormat/>
    <w:uiPriority w:val="0"/>
    <w:rPr>
      <w:b/>
      <w:bCs/>
      <w:kern w:val="44"/>
      <w:sz w:val="44"/>
      <w:szCs w:val="44"/>
    </w:rPr>
  </w:style>
  <w:style w:type="character" w:customStyle="1" w:styleId="200">
    <w:name w:val="Char Char111"/>
    <w:qFormat/>
    <w:uiPriority w:val="0"/>
    <w:rPr>
      <w:rFonts w:ascii="黑体" w:hAnsi="Arial" w:eastAsia="黑体" w:cs="Arial"/>
      <w:b/>
      <w:bCs/>
      <w:sz w:val="32"/>
      <w:szCs w:val="32"/>
    </w:rPr>
  </w:style>
  <w:style w:type="character" w:customStyle="1" w:styleId="201">
    <w:name w:val="标题 Char1"/>
    <w:qFormat/>
    <w:locked/>
    <w:uiPriority w:val="0"/>
    <w:rPr>
      <w:rFonts w:ascii="Arial" w:hAnsi="Arial"/>
      <w:b/>
      <w:sz w:val="44"/>
    </w:rPr>
  </w:style>
  <w:style w:type="character" w:customStyle="1" w:styleId="202">
    <w:name w:val="font5 Char"/>
    <w:link w:val="203"/>
    <w:qFormat/>
    <w:uiPriority w:val="0"/>
    <w:rPr>
      <w:rFonts w:ascii="宋体" w:hAnsi="宋体" w:eastAsia="宋体" w:cs="Times New Roman"/>
      <w:kern w:val="0"/>
      <w:sz w:val="24"/>
      <w:szCs w:val="24"/>
    </w:rPr>
  </w:style>
  <w:style w:type="paragraph" w:customStyle="1" w:styleId="203">
    <w:name w:val="font5"/>
    <w:basedOn w:val="1"/>
    <w:link w:val="202"/>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204">
    <w:name w:val="标题 3 Char Char"/>
    <w:qFormat/>
    <w:uiPriority w:val="0"/>
    <w:rPr>
      <w:rFonts w:ascii="Cambria" w:hAnsi="Cambria" w:eastAsia="宋体"/>
      <w:b/>
      <w:bCs/>
      <w:sz w:val="26"/>
      <w:szCs w:val="26"/>
      <w:lang w:val="en-US" w:eastAsia="en-US"/>
    </w:rPr>
  </w:style>
  <w:style w:type="character" w:customStyle="1" w:styleId="205">
    <w:name w:val="样式 标题 3h3section:3Level 3 HeadH3level_3PIM 33rd level3H... Char"/>
    <w:link w:val="206"/>
    <w:qFormat/>
    <w:locked/>
    <w:uiPriority w:val="0"/>
    <w:rPr>
      <w:rFonts w:ascii="Arial" w:hAnsi="Arial" w:cs="Arial"/>
      <w:b/>
      <w:sz w:val="24"/>
      <w:szCs w:val="28"/>
    </w:rPr>
  </w:style>
  <w:style w:type="paragraph" w:customStyle="1" w:styleId="206">
    <w:name w:val="样式 标题 3h3section:3Level 3 HeadH3level_3PIM 33rd level3H..."/>
    <w:basedOn w:val="5"/>
    <w:link w:val="205"/>
    <w:qFormat/>
    <w:uiPriority w:val="0"/>
    <w:pPr>
      <w:keepLines w:val="0"/>
      <w:widowControl/>
      <w:tabs>
        <w:tab w:val="left" w:pos="360"/>
        <w:tab w:val="left" w:pos="1680"/>
      </w:tabs>
      <w:adjustRightInd w:val="0"/>
      <w:spacing w:before="240" w:after="60" w:line="416" w:lineRule="atLeast"/>
      <w:jc w:val="left"/>
    </w:pPr>
    <w:rPr>
      <w:rFonts w:ascii="Arial" w:hAnsi="Arial" w:cs="Arial" w:eastAsiaTheme="minorEastAsia"/>
      <w:sz w:val="24"/>
      <w:szCs w:val="28"/>
    </w:rPr>
  </w:style>
  <w:style w:type="character" w:customStyle="1" w:styleId="207">
    <w:name w:val="Char Char15"/>
    <w:qFormat/>
    <w:uiPriority w:val="0"/>
    <w:rPr>
      <w:rFonts w:ascii="Cambria" w:hAnsi="Cambria" w:eastAsia="宋体" w:cs="Times New Roman"/>
      <w:b/>
      <w:bCs/>
      <w:kern w:val="2"/>
      <w:sz w:val="28"/>
      <w:szCs w:val="28"/>
    </w:rPr>
  </w:style>
  <w:style w:type="character" w:customStyle="1" w:styleId="208">
    <w:name w:val="明显强调1"/>
    <w:qFormat/>
    <w:uiPriority w:val="0"/>
    <w:rPr>
      <w:b/>
      <w:i/>
      <w:sz w:val="24"/>
      <w:szCs w:val="24"/>
      <w:u w:val="single"/>
    </w:rPr>
  </w:style>
  <w:style w:type="character" w:customStyle="1" w:styleId="209">
    <w:name w:val="正文文本 3 Char_0"/>
    <w:link w:val="210"/>
    <w:qFormat/>
    <w:uiPriority w:val="0"/>
    <w:rPr>
      <w:rFonts w:ascii="Times New Roman" w:hAnsi="Times New Roman"/>
      <w:sz w:val="16"/>
      <w:szCs w:val="16"/>
    </w:rPr>
  </w:style>
  <w:style w:type="paragraph" w:customStyle="1" w:styleId="210">
    <w:name w:val="正文文本 3_0_0"/>
    <w:basedOn w:val="160"/>
    <w:link w:val="209"/>
    <w:qFormat/>
    <w:uiPriority w:val="0"/>
    <w:rPr>
      <w:rFonts w:ascii="Times New Roman" w:hAnsi="Times New Roman" w:eastAsiaTheme="minorEastAsia" w:cstheme="minorBidi"/>
      <w:sz w:val="16"/>
      <w:szCs w:val="16"/>
    </w:rPr>
  </w:style>
  <w:style w:type="character" w:customStyle="1" w:styleId="211">
    <w:name w:val="ca-31"/>
    <w:qFormat/>
    <w:uiPriority w:val="0"/>
    <w:rPr>
      <w:rFonts w:hint="eastAsia" w:ascii="宋体" w:hAnsi="宋体" w:eastAsia="宋体"/>
      <w:sz w:val="21"/>
      <w:szCs w:val="21"/>
    </w:rPr>
  </w:style>
  <w:style w:type="character" w:customStyle="1" w:styleId="212">
    <w:name w:val="正文缩进 字符"/>
    <w:link w:val="14"/>
    <w:qFormat/>
    <w:uiPriority w:val="0"/>
  </w:style>
  <w:style w:type="character" w:customStyle="1" w:styleId="213">
    <w:name w:val="明显引用 Char1"/>
    <w:qFormat/>
    <w:uiPriority w:val="30"/>
    <w:rPr>
      <w:rFonts w:hint="default" w:ascii="Times New Roman" w:hAnsi="Times New Roman" w:cs="Times New Roman"/>
      <w:b/>
      <w:bCs/>
      <w:i/>
      <w:iCs/>
      <w:color w:val="4F81BD"/>
      <w:kern w:val="2"/>
      <w:sz w:val="21"/>
      <w:szCs w:val="24"/>
    </w:rPr>
  </w:style>
  <w:style w:type="character" w:customStyle="1" w:styleId="214">
    <w:name w:val="Variable"/>
    <w:qFormat/>
    <w:uiPriority w:val="0"/>
    <w:rPr>
      <w:i/>
    </w:rPr>
  </w:style>
  <w:style w:type="character" w:customStyle="1" w:styleId="215">
    <w:name w:val="Char Char71"/>
    <w:qFormat/>
    <w:uiPriority w:val="0"/>
    <w:rPr>
      <w:rFonts w:ascii="Arial" w:hAnsi="Arial" w:eastAsia="黑体"/>
      <w:b/>
      <w:bCs/>
      <w:kern w:val="2"/>
      <w:sz w:val="32"/>
      <w:szCs w:val="32"/>
      <w:lang w:val="en-US" w:eastAsia="zh-CN" w:bidi="ar-SA"/>
    </w:rPr>
  </w:style>
  <w:style w:type="character" w:customStyle="1" w:styleId="216">
    <w:name w:val="WPS Plain Char"/>
    <w:link w:val="217"/>
    <w:qFormat/>
    <w:locked/>
    <w:uiPriority w:val="0"/>
  </w:style>
  <w:style w:type="paragraph" w:customStyle="1" w:styleId="217">
    <w:name w:val="WPS Plain"/>
    <w:link w:val="216"/>
    <w:qFormat/>
    <w:uiPriority w:val="0"/>
    <w:rPr>
      <w:rFonts w:asciiTheme="minorHAnsi" w:hAnsiTheme="minorHAnsi" w:eastAsiaTheme="minorEastAsia" w:cstheme="minorBidi"/>
      <w:kern w:val="2"/>
      <w:sz w:val="21"/>
      <w:szCs w:val="22"/>
      <w:lang w:val="en-US" w:eastAsia="zh-CN" w:bidi="ar-SA"/>
    </w:rPr>
  </w:style>
  <w:style w:type="character" w:customStyle="1" w:styleId="218">
    <w:name w:val="日期 字符"/>
    <w:link w:val="31"/>
    <w:qFormat/>
    <w:uiPriority w:val="0"/>
    <w:rPr>
      <w:rFonts w:ascii="Calibri" w:hAnsi="Calibri" w:eastAsia="宋体" w:cs="Times New Roman"/>
      <w:sz w:val="24"/>
      <w:szCs w:val="20"/>
    </w:rPr>
  </w:style>
  <w:style w:type="character" w:customStyle="1" w:styleId="219">
    <w:name w:val="标题 2 Char_2"/>
    <w:link w:val="220"/>
    <w:qFormat/>
    <w:uiPriority w:val="0"/>
    <w:rPr>
      <w:rFonts w:ascii="Arial" w:hAnsi="Arial" w:eastAsia="黑体"/>
      <w:b/>
      <w:sz w:val="32"/>
    </w:rPr>
  </w:style>
  <w:style w:type="paragraph" w:customStyle="1" w:styleId="220">
    <w:name w:val="标题 2_2"/>
    <w:basedOn w:val="109"/>
    <w:next w:val="109"/>
    <w:link w:val="219"/>
    <w:qFormat/>
    <w:uiPriority w:val="0"/>
    <w:pPr>
      <w:keepNext/>
      <w:keepLines/>
      <w:spacing w:before="260" w:after="260" w:line="413" w:lineRule="auto"/>
      <w:outlineLvl w:val="1"/>
    </w:pPr>
    <w:rPr>
      <w:rFonts w:ascii="Arial" w:hAnsi="Arial" w:eastAsia="黑体" w:cstheme="minorBidi"/>
      <w:b/>
      <w:sz w:val="32"/>
      <w:szCs w:val="22"/>
    </w:rPr>
  </w:style>
  <w:style w:type="character" w:customStyle="1" w:styleId="221">
    <w:name w:val="明显参考1"/>
    <w:qFormat/>
    <w:uiPriority w:val="0"/>
    <w:rPr>
      <w:b/>
      <w:sz w:val="24"/>
      <w:u w:val="single"/>
    </w:rPr>
  </w:style>
  <w:style w:type="character" w:customStyle="1" w:styleId="222">
    <w:name w:val="批注文字 字符"/>
    <w:link w:val="18"/>
    <w:qFormat/>
    <w:uiPriority w:val="0"/>
    <w:rPr>
      <w:rFonts w:ascii="Times New Roman" w:hAnsi="Times New Roman" w:eastAsia="宋体" w:cs="Times New Roman"/>
      <w:szCs w:val="24"/>
    </w:rPr>
  </w:style>
  <w:style w:type="character" w:customStyle="1" w:styleId="223">
    <w:name w:val="副标题 字符"/>
    <w:link w:val="39"/>
    <w:qFormat/>
    <w:uiPriority w:val="0"/>
    <w:rPr>
      <w:rFonts w:ascii="Arial" w:hAnsi="Arial" w:eastAsia="黑体" w:cs="Times New Roman"/>
      <w:b/>
      <w:bCs/>
      <w:sz w:val="32"/>
      <w:szCs w:val="32"/>
    </w:rPr>
  </w:style>
  <w:style w:type="character" w:customStyle="1" w:styleId="224">
    <w:name w:val="批注文字 Char1"/>
    <w:semiHidden/>
    <w:qFormat/>
    <w:uiPriority w:val="99"/>
    <w:rPr>
      <w:rFonts w:hint="default" w:ascii="Calibri" w:hAnsi="Calibri"/>
      <w:kern w:val="2"/>
      <w:sz w:val="21"/>
      <w:szCs w:val="22"/>
    </w:rPr>
  </w:style>
  <w:style w:type="character" w:customStyle="1" w:styleId="225">
    <w:name w:val="纯文本 Char2"/>
    <w:semiHidden/>
    <w:qFormat/>
    <w:uiPriority w:val="99"/>
    <w:rPr>
      <w:rFonts w:hint="eastAsia" w:ascii="宋体" w:hAnsi="Courier New" w:eastAsia="宋体" w:cs="Courier New"/>
      <w:kern w:val="2"/>
      <w:sz w:val="21"/>
      <w:szCs w:val="21"/>
    </w:rPr>
  </w:style>
  <w:style w:type="character" w:customStyle="1" w:styleId="226">
    <w:name w:val="Char Char171"/>
    <w:qFormat/>
    <w:uiPriority w:val="0"/>
    <w:rPr>
      <w:rFonts w:eastAsia="宋体"/>
      <w:kern w:val="2"/>
      <w:lang w:bidi="ar-SA"/>
    </w:rPr>
  </w:style>
  <w:style w:type="character" w:customStyle="1" w:styleId="227">
    <w:name w:val="标题 2 Char_0"/>
    <w:link w:val="228"/>
    <w:qFormat/>
    <w:uiPriority w:val="0"/>
    <w:rPr>
      <w:rFonts w:ascii="Arial" w:hAnsi="Arial"/>
      <w:b/>
      <w:bCs/>
      <w:sz w:val="28"/>
      <w:szCs w:val="32"/>
    </w:rPr>
  </w:style>
  <w:style w:type="paragraph" w:customStyle="1" w:styleId="228">
    <w:name w:val="标题 2_0"/>
    <w:basedOn w:val="229"/>
    <w:next w:val="229"/>
    <w:link w:val="227"/>
    <w:qFormat/>
    <w:uiPriority w:val="0"/>
    <w:pPr>
      <w:keepNext/>
      <w:keepLines/>
      <w:spacing w:before="260" w:after="260" w:line="415" w:lineRule="auto"/>
      <w:outlineLvl w:val="1"/>
    </w:pPr>
    <w:rPr>
      <w:rFonts w:ascii="Arial" w:hAnsi="Arial" w:eastAsiaTheme="minorEastAsia" w:cstheme="minorBidi"/>
      <w:b/>
      <w:bCs/>
      <w:sz w:val="28"/>
      <w:szCs w:val="32"/>
    </w:rPr>
  </w:style>
  <w:style w:type="paragraph" w:customStyle="1" w:styleId="229">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0">
    <w:name w:val="Char Char17_0"/>
    <w:qFormat/>
    <w:uiPriority w:val="0"/>
    <w:rPr>
      <w:rFonts w:hint="default" w:ascii="Cambria" w:hAnsi="Cambria" w:eastAsia="宋体" w:cs="Times New Roman"/>
      <w:b/>
      <w:bCs/>
      <w:kern w:val="2"/>
      <w:sz w:val="32"/>
      <w:szCs w:val="32"/>
    </w:rPr>
  </w:style>
  <w:style w:type="character" w:customStyle="1" w:styleId="231">
    <w:name w:val="页脚 字符"/>
    <w:link w:val="35"/>
    <w:qFormat/>
    <w:uiPriority w:val="99"/>
    <w:rPr>
      <w:sz w:val="18"/>
      <w:szCs w:val="18"/>
    </w:rPr>
  </w:style>
  <w:style w:type="character" w:customStyle="1" w:styleId="232">
    <w:name w:val="样式 粉红"/>
    <w:qFormat/>
    <w:uiPriority w:val="0"/>
    <w:rPr>
      <w:color w:val="auto"/>
      <w:u w:val="none"/>
    </w:rPr>
  </w:style>
  <w:style w:type="character" w:customStyle="1" w:styleId="233">
    <w:name w:val="批注主题 字符"/>
    <w:link w:val="50"/>
    <w:qFormat/>
    <w:uiPriority w:val="0"/>
    <w:rPr>
      <w:rFonts w:ascii="Times New Roman" w:hAnsi="Times New Roman" w:eastAsia="宋体" w:cs="Times New Roman"/>
      <w:b/>
      <w:bCs/>
      <w:szCs w:val="24"/>
    </w:rPr>
  </w:style>
  <w:style w:type="character" w:customStyle="1" w:styleId="234">
    <w:name w:val="z-窗体底端 字符"/>
    <w:link w:val="235"/>
    <w:qFormat/>
    <w:uiPriority w:val="0"/>
    <w:rPr>
      <w:rFonts w:ascii="Arial" w:hAnsi="Arial" w:cs="Arial"/>
      <w:vanish/>
      <w:sz w:val="16"/>
      <w:szCs w:val="16"/>
    </w:rPr>
  </w:style>
  <w:style w:type="paragraph" w:customStyle="1" w:styleId="235">
    <w:name w:val="z-窗体底端1"/>
    <w:basedOn w:val="1"/>
    <w:next w:val="1"/>
    <w:link w:val="234"/>
    <w:qFormat/>
    <w:uiPriority w:val="0"/>
    <w:pPr>
      <w:pBdr>
        <w:top w:val="single" w:color="auto" w:sz="6" w:space="1"/>
      </w:pBdr>
      <w:jc w:val="center"/>
    </w:pPr>
    <w:rPr>
      <w:rFonts w:ascii="Arial" w:hAnsi="Arial" w:cs="Arial"/>
      <w:vanish/>
      <w:sz w:val="16"/>
      <w:szCs w:val="16"/>
    </w:rPr>
  </w:style>
  <w:style w:type="character" w:customStyle="1" w:styleId="236">
    <w:name w:val="正文首行缩进 字符"/>
    <w:link w:val="51"/>
    <w:qFormat/>
    <w:uiPriority w:val="0"/>
    <w:rPr>
      <w:rFonts w:ascii="Times New Roman" w:hAnsi="Times New Roman" w:eastAsia="宋体" w:cs="Times New Roman"/>
      <w:kern w:val="0"/>
      <w:sz w:val="20"/>
      <w:szCs w:val="20"/>
    </w:rPr>
  </w:style>
  <w:style w:type="character" w:customStyle="1" w:styleId="237">
    <w:name w:val="Char Char4"/>
    <w:link w:val="238"/>
    <w:qFormat/>
    <w:locked/>
    <w:uiPriority w:val="0"/>
    <w:rPr>
      <w:rFonts w:ascii="Calibri" w:hAnsi="Calibri" w:eastAsia="宋体" w:cs="Times New Roman"/>
      <w:sz w:val="24"/>
    </w:rPr>
  </w:style>
  <w:style w:type="paragraph" w:customStyle="1" w:styleId="238">
    <w:name w:val="Char"/>
    <w:basedOn w:val="1"/>
    <w:link w:val="237"/>
    <w:qFormat/>
    <w:uiPriority w:val="0"/>
    <w:pPr>
      <w:tabs>
        <w:tab w:val="left" w:pos="360"/>
      </w:tabs>
    </w:pPr>
    <w:rPr>
      <w:rFonts w:ascii="Calibri" w:hAnsi="Calibri" w:eastAsia="宋体" w:cs="Times New Roman"/>
      <w:sz w:val="24"/>
    </w:rPr>
  </w:style>
  <w:style w:type="character" w:customStyle="1" w:styleId="239">
    <w:name w:val="Char Char10"/>
    <w:qFormat/>
    <w:uiPriority w:val="0"/>
    <w:rPr>
      <w:rFonts w:hint="default" w:ascii="Cambria" w:hAnsi="Cambria" w:eastAsia="宋体"/>
      <w:b/>
      <w:bCs/>
      <w:i/>
      <w:iCs/>
      <w:sz w:val="28"/>
      <w:szCs w:val="28"/>
    </w:rPr>
  </w:style>
  <w:style w:type="character" w:customStyle="1" w:styleId="240">
    <w:name w:val="文档结构图 字符"/>
    <w:link w:val="17"/>
    <w:qFormat/>
    <w:uiPriority w:val="0"/>
    <w:rPr>
      <w:rFonts w:ascii="Calibri" w:hAnsi="Calibri" w:eastAsia="宋体" w:cs="Times New Roman"/>
      <w:shd w:val="clear" w:color="auto" w:fill="000080"/>
    </w:rPr>
  </w:style>
  <w:style w:type="character" w:customStyle="1" w:styleId="241">
    <w:name w:val="批注文字 字符1"/>
    <w:basedOn w:val="57"/>
    <w:semiHidden/>
    <w:qFormat/>
    <w:uiPriority w:val="99"/>
  </w:style>
  <w:style w:type="character" w:customStyle="1" w:styleId="242">
    <w:name w:val="正文文本缩进 3 字符1"/>
    <w:basedOn w:val="57"/>
    <w:semiHidden/>
    <w:qFormat/>
    <w:uiPriority w:val="99"/>
    <w:rPr>
      <w:sz w:val="16"/>
      <w:szCs w:val="16"/>
    </w:rPr>
  </w:style>
  <w:style w:type="character" w:customStyle="1" w:styleId="243">
    <w:name w:val="纯文本 字符1"/>
    <w:basedOn w:val="57"/>
    <w:semiHidden/>
    <w:qFormat/>
    <w:uiPriority w:val="99"/>
    <w:rPr>
      <w:rFonts w:hAnsi="Courier New" w:cs="Courier New" w:asciiTheme="minorEastAsia"/>
    </w:rPr>
  </w:style>
  <w:style w:type="character" w:customStyle="1" w:styleId="244">
    <w:name w:val="日期 字符1"/>
    <w:basedOn w:val="57"/>
    <w:semiHidden/>
    <w:qFormat/>
    <w:uiPriority w:val="99"/>
  </w:style>
  <w:style w:type="character" w:customStyle="1" w:styleId="245">
    <w:name w:val="尾注文本 字符1"/>
    <w:basedOn w:val="57"/>
    <w:semiHidden/>
    <w:qFormat/>
    <w:uiPriority w:val="99"/>
  </w:style>
  <w:style w:type="character" w:customStyle="1" w:styleId="246">
    <w:name w:val="文档结构图 字符1"/>
    <w:basedOn w:val="57"/>
    <w:semiHidden/>
    <w:qFormat/>
    <w:uiPriority w:val="99"/>
    <w:rPr>
      <w:rFonts w:ascii="Microsoft YaHei UI" w:eastAsia="Microsoft YaHei UI"/>
      <w:sz w:val="18"/>
      <w:szCs w:val="18"/>
    </w:rPr>
  </w:style>
  <w:style w:type="character" w:customStyle="1" w:styleId="247">
    <w:name w:val="正文文本缩进 2 字符1"/>
    <w:basedOn w:val="57"/>
    <w:semiHidden/>
    <w:qFormat/>
    <w:uiPriority w:val="99"/>
  </w:style>
  <w:style w:type="character" w:customStyle="1" w:styleId="248">
    <w:name w:val="批注框文本 字符1"/>
    <w:basedOn w:val="57"/>
    <w:semiHidden/>
    <w:qFormat/>
    <w:uiPriority w:val="99"/>
    <w:rPr>
      <w:sz w:val="18"/>
      <w:szCs w:val="18"/>
    </w:rPr>
  </w:style>
  <w:style w:type="character" w:customStyle="1" w:styleId="249">
    <w:name w:val="副标题 字符1"/>
    <w:basedOn w:val="57"/>
    <w:qFormat/>
    <w:uiPriority w:val="11"/>
    <w:rPr>
      <w:b/>
      <w:bCs/>
      <w:kern w:val="28"/>
      <w:sz w:val="32"/>
      <w:szCs w:val="32"/>
    </w:rPr>
  </w:style>
  <w:style w:type="character" w:customStyle="1" w:styleId="250">
    <w:name w:val="页脚 字符1"/>
    <w:basedOn w:val="57"/>
    <w:semiHidden/>
    <w:qFormat/>
    <w:uiPriority w:val="99"/>
    <w:rPr>
      <w:sz w:val="18"/>
      <w:szCs w:val="18"/>
    </w:rPr>
  </w:style>
  <w:style w:type="character" w:customStyle="1" w:styleId="251">
    <w:name w:val="页眉 字符1"/>
    <w:basedOn w:val="57"/>
    <w:semiHidden/>
    <w:qFormat/>
    <w:uiPriority w:val="99"/>
    <w:rPr>
      <w:sz w:val="18"/>
      <w:szCs w:val="18"/>
    </w:rPr>
  </w:style>
  <w:style w:type="character" w:customStyle="1" w:styleId="252">
    <w:name w:val="正文文本 2 字符1"/>
    <w:basedOn w:val="57"/>
    <w:semiHidden/>
    <w:qFormat/>
    <w:uiPriority w:val="99"/>
  </w:style>
  <w:style w:type="character" w:customStyle="1" w:styleId="253">
    <w:name w:val="脚注文本 字符1"/>
    <w:basedOn w:val="57"/>
    <w:semiHidden/>
    <w:qFormat/>
    <w:uiPriority w:val="99"/>
    <w:rPr>
      <w:sz w:val="18"/>
      <w:szCs w:val="18"/>
    </w:rPr>
  </w:style>
  <w:style w:type="character" w:customStyle="1" w:styleId="254">
    <w:name w:val="批注主题 字符1"/>
    <w:basedOn w:val="241"/>
    <w:semiHidden/>
    <w:qFormat/>
    <w:uiPriority w:val="99"/>
    <w:rPr>
      <w:b/>
      <w:bCs/>
    </w:rPr>
  </w:style>
  <w:style w:type="character" w:customStyle="1" w:styleId="255">
    <w:name w:val="标题 字符1"/>
    <w:basedOn w:val="57"/>
    <w:qFormat/>
    <w:uiPriority w:val="10"/>
    <w:rPr>
      <w:rFonts w:asciiTheme="majorHAnsi" w:hAnsiTheme="majorHAnsi" w:eastAsiaTheme="majorEastAsia" w:cstheme="majorBidi"/>
      <w:b/>
      <w:bCs/>
      <w:sz w:val="32"/>
      <w:szCs w:val="32"/>
    </w:rPr>
  </w:style>
  <w:style w:type="character" w:customStyle="1" w:styleId="256">
    <w:name w:val="正文文本首行缩进 字符1"/>
    <w:basedOn w:val="67"/>
    <w:semiHidden/>
    <w:qFormat/>
    <w:uiPriority w:val="99"/>
    <w:rPr>
      <w:rFonts w:ascii="宋体" w:hAnsi="宋体" w:eastAsia="宋体" w:cs="宋体"/>
      <w:kern w:val="0"/>
      <w:sz w:val="24"/>
      <w:szCs w:val="24"/>
    </w:rPr>
  </w:style>
  <w:style w:type="paragraph" w:customStyle="1" w:styleId="257">
    <w:name w:val="H5"/>
    <w:basedOn w:val="1"/>
    <w:next w:val="1"/>
    <w:qFormat/>
    <w:uiPriority w:val="0"/>
    <w:pPr>
      <w:keepNext/>
      <w:autoSpaceDE w:val="0"/>
      <w:autoSpaceDN w:val="0"/>
      <w:adjustRightInd w:val="0"/>
      <w:spacing w:before="100" w:after="100"/>
      <w:jc w:val="left"/>
      <w:outlineLvl w:val="5"/>
    </w:pPr>
    <w:rPr>
      <w:rFonts w:ascii="Calibri" w:hAnsi="Calibri" w:eastAsia="宋体" w:cs="Times New Roman"/>
      <w:b/>
      <w:kern w:val="0"/>
      <w:sz w:val="20"/>
      <w:szCs w:val="20"/>
    </w:rPr>
  </w:style>
  <w:style w:type="paragraph" w:customStyle="1" w:styleId="258">
    <w:name w:val="标题 3_0_0"/>
    <w:basedOn w:val="160"/>
    <w:next w:val="160"/>
    <w:qFormat/>
    <w:uiPriority w:val="0"/>
    <w:pPr>
      <w:keepNext/>
      <w:keepLines/>
      <w:spacing w:before="260" w:after="260" w:line="415" w:lineRule="auto"/>
    </w:pPr>
    <w:rPr>
      <w:b/>
      <w:bCs/>
      <w:szCs w:val="32"/>
    </w:rPr>
  </w:style>
  <w:style w:type="paragraph" w:customStyle="1" w:styleId="259">
    <w:name w:val="标题2"/>
    <w:basedOn w:val="4"/>
    <w:next w:val="1"/>
    <w:qFormat/>
    <w:uiPriority w:val="0"/>
    <w:pPr>
      <w:snapToGrid w:val="0"/>
      <w:spacing w:before="120" w:after="120" w:line="240" w:lineRule="auto"/>
      <w:jc w:val="left"/>
    </w:pPr>
    <w:rPr>
      <w:b w:val="0"/>
      <w:bCs/>
      <w:sz w:val="21"/>
      <w:szCs w:val="21"/>
    </w:rPr>
  </w:style>
  <w:style w:type="paragraph" w:customStyle="1" w:styleId="260">
    <w:name w:val="表1"/>
    <w:basedOn w:val="1"/>
    <w:qFormat/>
    <w:uiPriority w:val="0"/>
    <w:pPr>
      <w:overflowPunct w:val="0"/>
      <w:autoSpaceDE w:val="0"/>
      <w:autoSpaceDN w:val="0"/>
      <w:adjustRightInd w:val="0"/>
      <w:spacing w:before="200" w:line="320" w:lineRule="atLeast"/>
      <w:textAlignment w:val="baseline"/>
    </w:pPr>
    <w:rPr>
      <w:rFonts w:ascii="Times New Roman" w:hAnsi="Times New Roman" w:eastAsia="宋体" w:cs="Times New Roman"/>
      <w:kern w:val="0"/>
      <w:sz w:val="24"/>
      <w:szCs w:val="20"/>
    </w:rPr>
  </w:style>
  <w:style w:type="paragraph" w:customStyle="1" w:styleId="261">
    <w:name w:val="样式8"/>
    <w:basedOn w:val="1"/>
    <w:qFormat/>
    <w:uiPriority w:val="0"/>
    <w:pPr>
      <w:keepNext/>
      <w:keepLines/>
      <w:widowControl/>
      <w:spacing w:before="260" w:after="260"/>
      <w:jc w:val="center"/>
      <w:outlineLvl w:val="1"/>
    </w:pPr>
    <w:rPr>
      <w:rFonts w:ascii="Arial" w:hAnsi="Arial" w:eastAsia="黑体" w:cs="Times New Roman"/>
      <w:b/>
      <w:bCs/>
      <w:kern w:val="0"/>
      <w:sz w:val="72"/>
      <w:szCs w:val="32"/>
    </w:rPr>
  </w:style>
  <w:style w:type="paragraph" w:customStyle="1" w:styleId="262">
    <w:name w:val="普通 (Web)"/>
    <w:basedOn w:val="1"/>
    <w:qFormat/>
    <w:uiPriority w:val="0"/>
    <w:pPr>
      <w:widowControl/>
      <w:spacing w:before="100" w:after="100"/>
      <w:jc w:val="left"/>
    </w:pPr>
    <w:rPr>
      <w:rFonts w:ascii="Arial Unicode MS" w:hAnsi="Arial Unicode MS" w:eastAsia="Arial Unicode MS" w:cs="Times New Roman"/>
      <w:kern w:val="0"/>
      <w:sz w:val="24"/>
      <w:szCs w:val="20"/>
    </w:rPr>
  </w:style>
  <w:style w:type="paragraph" w:customStyle="1" w:styleId="263">
    <w:name w:val="格式3"/>
    <w:basedOn w:val="1"/>
    <w:qFormat/>
    <w:uiPriority w:val="0"/>
    <w:pPr>
      <w:tabs>
        <w:tab w:val="left" w:pos="1222"/>
        <w:tab w:val="left" w:pos="1626"/>
      </w:tabs>
      <w:adjustRightInd w:val="0"/>
      <w:snapToGrid w:val="0"/>
      <w:spacing w:line="360" w:lineRule="auto"/>
      <w:ind w:left="1701" w:hanging="397"/>
    </w:pPr>
    <w:rPr>
      <w:rFonts w:ascii="宋体" w:hAnsi="宋体" w:eastAsia="宋体" w:cs="Times New Roman"/>
      <w:szCs w:val="20"/>
    </w:rPr>
  </w:style>
  <w:style w:type="character" w:customStyle="1" w:styleId="264">
    <w:name w:val="z-窗体底端 字符1"/>
    <w:basedOn w:val="57"/>
    <w:semiHidden/>
    <w:qFormat/>
    <w:uiPriority w:val="99"/>
    <w:rPr>
      <w:rFonts w:ascii="Arial" w:hAnsi="Arial" w:cs="Arial"/>
      <w:vanish/>
      <w:sz w:val="16"/>
      <w:szCs w:val="16"/>
    </w:rPr>
  </w:style>
  <w:style w:type="paragraph" w:customStyle="1" w:styleId="265">
    <w:name w:val="格式10"/>
    <w:basedOn w:val="1"/>
    <w:qFormat/>
    <w:uiPriority w:val="0"/>
    <w:pPr>
      <w:spacing w:line="360" w:lineRule="exact"/>
      <w:ind w:left="480"/>
    </w:pPr>
    <w:rPr>
      <w:rFonts w:ascii="Times New Roman" w:hAnsi="Times New Roman" w:eastAsia="宋体" w:cs="Times New Roman"/>
      <w:sz w:val="24"/>
      <w:szCs w:val="20"/>
    </w:rPr>
  </w:style>
  <w:style w:type="paragraph" w:customStyle="1" w:styleId="266">
    <w:name w:val="Char11"/>
    <w:basedOn w:val="1"/>
    <w:qFormat/>
    <w:uiPriority w:val="0"/>
    <w:pPr>
      <w:tabs>
        <w:tab w:val="left" w:pos="360"/>
      </w:tabs>
    </w:pPr>
    <w:rPr>
      <w:rFonts w:ascii="Calibri" w:hAnsi="Calibri" w:eastAsia="宋体" w:cs="Times New Roman"/>
      <w:sz w:val="24"/>
    </w:rPr>
  </w:style>
  <w:style w:type="character" w:customStyle="1" w:styleId="267">
    <w:name w:val="引用 字符1"/>
    <w:basedOn w:val="57"/>
    <w:qFormat/>
    <w:uiPriority w:val="29"/>
    <w:rPr>
      <w:i/>
      <w:iCs/>
      <w:color w:val="404040" w:themeColor="text1" w:themeTint="BF"/>
      <w14:textFill>
        <w14:solidFill>
          <w14:schemeClr w14:val="tx1">
            <w14:lumMod w14:val="75000"/>
            <w14:lumOff w14:val="25000"/>
          </w14:schemeClr>
        </w14:solidFill>
      </w14:textFill>
    </w:rPr>
  </w:style>
  <w:style w:type="paragraph" w:customStyle="1" w:styleId="26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69">
    <w:name w:val="H4"/>
    <w:basedOn w:val="1"/>
    <w:next w:val="1"/>
    <w:qFormat/>
    <w:uiPriority w:val="0"/>
    <w:pPr>
      <w:keepNext/>
      <w:autoSpaceDE w:val="0"/>
      <w:autoSpaceDN w:val="0"/>
      <w:adjustRightInd w:val="0"/>
      <w:spacing w:before="100" w:after="100"/>
      <w:jc w:val="left"/>
      <w:outlineLvl w:val="4"/>
    </w:pPr>
    <w:rPr>
      <w:rFonts w:ascii="Calibri" w:hAnsi="Calibri" w:eastAsia="宋体" w:cs="Times New Roman"/>
      <w:b/>
      <w:kern w:val="0"/>
      <w:sz w:val="24"/>
      <w:szCs w:val="20"/>
    </w:rPr>
  </w:style>
  <w:style w:type="paragraph" w:customStyle="1" w:styleId="270">
    <w:name w:val="默认段落字体 Para Char Char Char Char"/>
    <w:basedOn w:val="1"/>
    <w:qFormat/>
    <w:uiPriority w:val="0"/>
    <w:rPr>
      <w:rFonts w:ascii="Times New Roman" w:hAnsi="Times New Roman" w:eastAsia="宋体" w:cs="Times New Roman"/>
      <w:szCs w:val="24"/>
    </w:rPr>
  </w:style>
  <w:style w:type="paragraph" w:customStyle="1" w:styleId="271">
    <w:name w:val="标题 4_0"/>
    <w:basedOn w:val="130"/>
    <w:next w:val="130"/>
    <w:qFormat/>
    <w:uiPriority w:val="0"/>
    <w:pPr>
      <w:keepNext/>
      <w:keepLines/>
      <w:spacing w:before="280" w:after="290" w:line="374" w:lineRule="auto"/>
      <w:outlineLvl w:val="3"/>
    </w:pPr>
    <w:rPr>
      <w:rFonts w:ascii="Arial" w:hAnsi="Arial" w:eastAsia="黑体"/>
      <w:b/>
      <w:bCs/>
      <w:sz w:val="28"/>
      <w:szCs w:val="28"/>
    </w:rPr>
  </w:style>
  <w:style w:type="paragraph" w:customStyle="1" w:styleId="272">
    <w:name w:val="样式2"/>
    <w:basedOn w:val="5"/>
    <w:qFormat/>
    <w:uiPriority w:val="0"/>
  </w:style>
  <w:style w:type="paragraph" w:customStyle="1" w:styleId="273">
    <w:name w:val="样式 (西文) 仿宋_GB2312 居中 行距: 1.5 倍行距"/>
    <w:basedOn w:val="1"/>
    <w:qFormat/>
    <w:uiPriority w:val="0"/>
    <w:pPr>
      <w:spacing w:line="360" w:lineRule="auto"/>
      <w:jc w:val="center"/>
    </w:pPr>
    <w:rPr>
      <w:rFonts w:ascii="宋体" w:hAnsi="宋体" w:eastAsia="宋体" w:cs="宋体"/>
      <w:kern w:val="0"/>
      <w:szCs w:val="20"/>
    </w:rPr>
  </w:style>
  <w:style w:type="paragraph" w:customStyle="1" w:styleId="274">
    <w:name w:val="2"/>
    <w:basedOn w:val="1"/>
    <w:qFormat/>
    <w:uiPriority w:val="0"/>
    <w:pPr>
      <w:tabs>
        <w:tab w:val="left" w:pos="1955"/>
      </w:tabs>
      <w:spacing w:line="460" w:lineRule="exact"/>
      <w:ind w:left="1955" w:hanging="975"/>
    </w:pPr>
    <w:rPr>
      <w:rFonts w:ascii="Times New Roman" w:hAnsi="Times New Roman" w:eastAsia="宋体" w:cs="Times New Roman"/>
      <w:sz w:val="28"/>
      <w:szCs w:val="20"/>
    </w:rPr>
  </w:style>
  <w:style w:type="paragraph" w:customStyle="1" w:styleId="275">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276">
    <w:name w:val="表格文字"/>
    <w:basedOn w:val="1"/>
    <w:link w:val="350"/>
    <w:qFormat/>
    <w:uiPriority w:val="2"/>
    <w:pPr>
      <w:adjustRightInd w:val="0"/>
      <w:spacing w:line="420" w:lineRule="atLeast"/>
      <w:jc w:val="left"/>
    </w:pPr>
    <w:rPr>
      <w:rFonts w:ascii="Calibri" w:hAnsi="Calibri" w:eastAsia="宋体" w:cs="Times New Roman"/>
      <w:kern w:val="0"/>
      <w:szCs w:val="20"/>
    </w:rPr>
  </w:style>
  <w:style w:type="paragraph" w:customStyle="1" w:styleId="277">
    <w:name w:val="标题 4_0_0"/>
    <w:basedOn w:val="134"/>
    <w:next w:val="134"/>
    <w:qFormat/>
    <w:uiPriority w:val="0"/>
    <w:pPr>
      <w:keepNext/>
      <w:keepLines/>
      <w:spacing w:before="280" w:after="290" w:line="374" w:lineRule="auto"/>
      <w:outlineLvl w:val="3"/>
    </w:pPr>
    <w:rPr>
      <w:rFonts w:ascii="Arial" w:hAnsi="Arial" w:eastAsia="黑体"/>
      <w:b/>
      <w:bCs/>
      <w:sz w:val="28"/>
      <w:szCs w:val="28"/>
    </w:rPr>
  </w:style>
  <w:style w:type="paragraph" w:customStyle="1" w:styleId="278">
    <w:name w:val="red"/>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79">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280">
    <w:name w:val="pa-5"/>
    <w:basedOn w:val="1"/>
    <w:qFormat/>
    <w:uiPriority w:val="0"/>
    <w:pPr>
      <w:widowControl/>
      <w:spacing w:line="240" w:lineRule="atLeast"/>
      <w:jc w:val="center"/>
    </w:pPr>
    <w:rPr>
      <w:rFonts w:ascii="宋体" w:hAnsi="宋体" w:eastAsia="宋体" w:cs="宋体"/>
      <w:kern w:val="0"/>
      <w:sz w:val="24"/>
      <w:szCs w:val="24"/>
    </w:rPr>
  </w:style>
  <w:style w:type="paragraph" w:customStyle="1" w:styleId="281">
    <w:name w:val="TOC 标题1"/>
    <w:basedOn w:val="3"/>
    <w:next w:val="1"/>
    <w:qFormat/>
    <w:uiPriority w:val="0"/>
    <w:pPr>
      <w:widowControl/>
      <w:spacing w:before="480" w:after="0" w:line="276" w:lineRule="auto"/>
      <w:outlineLvl w:val="9"/>
    </w:pPr>
    <w:rPr>
      <w:rFonts w:ascii="Cambria" w:hAnsi="Cambria"/>
      <w:color w:val="365F91"/>
      <w:kern w:val="0"/>
      <w:sz w:val="28"/>
    </w:rPr>
  </w:style>
  <w:style w:type="paragraph" w:customStyle="1" w:styleId="282">
    <w:name w:val="正文文本 3_0"/>
    <w:basedOn w:val="229"/>
    <w:qFormat/>
    <w:uiPriority w:val="0"/>
    <w:rPr>
      <w:rFonts w:ascii="宋体"/>
      <w:sz w:val="24"/>
      <w:szCs w:val="20"/>
    </w:rPr>
  </w:style>
  <w:style w:type="paragraph" w:customStyle="1" w:styleId="283">
    <w:name w:val="Char1"/>
    <w:basedOn w:val="1"/>
    <w:qFormat/>
    <w:uiPriority w:val="0"/>
    <w:pPr>
      <w:ind w:firstLine="200" w:firstLineChars="200"/>
    </w:pPr>
    <w:rPr>
      <w:rFonts w:ascii="Calibri" w:hAnsi="Calibri" w:eastAsia="宋体" w:cs="Times New Roman"/>
      <w:sz w:val="24"/>
      <w:szCs w:val="24"/>
    </w:rPr>
  </w:style>
  <w:style w:type="paragraph" w:customStyle="1" w:styleId="284">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286">
    <w:name w:val="Char Char Char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287">
    <w:name w:val="p0"/>
    <w:basedOn w:val="1"/>
    <w:qFormat/>
    <w:uiPriority w:val="0"/>
    <w:pPr>
      <w:widowControl/>
      <w:spacing w:line="440" w:lineRule="exact"/>
      <w:ind w:firstLine="200" w:firstLineChars="200"/>
    </w:pPr>
    <w:rPr>
      <w:rFonts w:ascii="Times New Roman" w:hAnsi="Times New Roman" w:eastAsia="宋体" w:cs="Times New Roman"/>
      <w:kern w:val="0"/>
      <w:szCs w:val="21"/>
    </w:rPr>
  </w:style>
  <w:style w:type="paragraph" w:customStyle="1" w:styleId="288">
    <w:name w:val="Definition List"/>
    <w:basedOn w:val="1"/>
    <w:next w:val="289"/>
    <w:qFormat/>
    <w:uiPriority w:val="0"/>
    <w:pPr>
      <w:autoSpaceDE w:val="0"/>
      <w:autoSpaceDN w:val="0"/>
      <w:adjustRightInd w:val="0"/>
      <w:ind w:left="360"/>
      <w:jc w:val="left"/>
    </w:pPr>
    <w:rPr>
      <w:rFonts w:ascii="Calibri" w:hAnsi="Calibri" w:eastAsia="宋体" w:cs="Times New Roman"/>
      <w:kern w:val="0"/>
      <w:sz w:val="24"/>
      <w:szCs w:val="20"/>
    </w:rPr>
  </w:style>
  <w:style w:type="paragraph" w:customStyle="1" w:styleId="289">
    <w:name w:val="Definition Term"/>
    <w:basedOn w:val="1"/>
    <w:next w:val="288"/>
    <w:qFormat/>
    <w:uiPriority w:val="0"/>
    <w:pPr>
      <w:autoSpaceDE w:val="0"/>
      <w:autoSpaceDN w:val="0"/>
      <w:adjustRightInd w:val="0"/>
      <w:jc w:val="left"/>
    </w:pPr>
    <w:rPr>
      <w:rFonts w:ascii="Calibri" w:hAnsi="Calibri" w:eastAsia="宋体" w:cs="Times New Roman"/>
      <w:kern w:val="0"/>
      <w:sz w:val="24"/>
      <w:szCs w:val="20"/>
    </w:rPr>
  </w:style>
  <w:style w:type="paragraph" w:customStyle="1" w:styleId="290">
    <w:name w:val="H6"/>
    <w:basedOn w:val="1"/>
    <w:next w:val="1"/>
    <w:qFormat/>
    <w:uiPriority w:val="0"/>
    <w:pPr>
      <w:keepNext/>
      <w:autoSpaceDE w:val="0"/>
      <w:autoSpaceDN w:val="0"/>
      <w:adjustRightInd w:val="0"/>
      <w:spacing w:before="100" w:after="100"/>
      <w:jc w:val="left"/>
      <w:outlineLvl w:val="6"/>
    </w:pPr>
    <w:rPr>
      <w:rFonts w:ascii="Calibri" w:hAnsi="Calibri" w:eastAsia="宋体" w:cs="Times New Roman"/>
      <w:b/>
      <w:kern w:val="0"/>
      <w:sz w:val="16"/>
      <w:szCs w:val="20"/>
    </w:rPr>
  </w:style>
  <w:style w:type="character" w:customStyle="1" w:styleId="291">
    <w:name w:val="z-窗体顶端 字符1"/>
    <w:basedOn w:val="57"/>
    <w:semiHidden/>
    <w:qFormat/>
    <w:uiPriority w:val="99"/>
    <w:rPr>
      <w:rFonts w:ascii="Arial" w:hAnsi="Arial" w:cs="Arial"/>
      <w:vanish/>
      <w:sz w:val="16"/>
      <w:szCs w:val="16"/>
    </w:rPr>
  </w:style>
  <w:style w:type="character" w:customStyle="1" w:styleId="292">
    <w:name w:val="明显引用 字符1"/>
    <w:basedOn w:val="57"/>
    <w:qFormat/>
    <w:uiPriority w:val="30"/>
    <w:rPr>
      <w:i/>
      <w:iCs/>
      <w:color w:val="4472C4" w:themeColor="accent1"/>
      <w14:textFill>
        <w14:solidFill>
          <w14:schemeClr w14:val="accent1"/>
        </w14:solidFill>
      </w14:textFill>
    </w:rPr>
  </w:style>
  <w:style w:type="paragraph" w:customStyle="1" w:styleId="293">
    <w:name w:val="样式 正文缩进正文（首行缩进两字）特点ALT+Z表正文正文非缩进四号段1Normal Indent Char2...2"/>
    <w:basedOn w:val="5"/>
    <w:qFormat/>
    <w:uiPriority w:val="0"/>
    <w:pPr>
      <w:tabs>
        <w:tab w:val="left" w:pos="1680"/>
      </w:tabs>
      <w:spacing w:before="360" w:line="360" w:lineRule="auto"/>
      <w:ind w:left="1680" w:hanging="420"/>
      <w:jc w:val="center"/>
    </w:pPr>
    <w:rPr>
      <w:rFonts w:ascii="宋体" w:hAnsi="宋体"/>
      <w:bCs/>
      <w:kern w:val="0"/>
      <w:sz w:val="28"/>
    </w:rPr>
  </w:style>
  <w:style w:type="paragraph" w:customStyle="1" w:styleId="294">
    <w:name w:val="xl31"/>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95">
    <w:name w:val="样式 正文缩进正文（首行缩进两字）特点ALT+Z表正文正文非缩进四号段1Normal Indent Char2..."/>
    <w:basedOn w:val="4"/>
    <w:next w:val="5"/>
    <w:qFormat/>
    <w:uiPriority w:val="0"/>
    <w:pPr>
      <w:tabs>
        <w:tab w:val="left" w:pos="840"/>
      </w:tabs>
      <w:spacing w:before="240" w:after="120" w:line="400" w:lineRule="exact"/>
      <w:ind w:left="840" w:hanging="420"/>
      <w:jc w:val="center"/>
    </w:pPr>
    <w:rPr>
      <w:rFonts w:ascii="宋体" w:hAnsi="宋体"/>
      <w:bCs/>
      <w:kern w:val="0"/>
    </w:rPr>
  </w:style>
  <w:style w:type="paragraph" w:customStyle="1" w:styleId="296">
    <w:name w:val="样式 正文缩进正文（首行缩进两字）特点ALT+Z表正文正文非缩进四号段1Normal Indent Char2...4"/>
    <w:basedOn w:val="22"/>
    <w:qFormat/>
    <w:uiPriority w:val="0"/>
    <w:pPr>
      <w:tabs>
        <w:tab w:val="left" w:pos="510"/>
        <w:tab w:val="left" w:pos="2520"/>
      </w:tabs>
      <w:spacing w:after="0" w:line="300" w:lineRule="auto"/>
      <w:ind w:left="2520" w:leftChars="0" w:hanging="420"/>
    </w:pPr>
    <w:rPr>
      <w:rFonts w:ascii="Times New Roman" w:hAnsi="宋体" w:eastAsia="宋体" w:cs="Times New Roman"/>
      <w:kern w:val="0"/>
      <w:sz w:val="24"/>
      <w:szCs w:val="20"/>
    </w:rPr>
  </w:style>
  <w:style w:type="paragraph" w:customStyle="1" w:styleId="297">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eastAsia="宋体" w:cs="Times New Roman"/>
      <w:kern w:val="0"/>
      <w:sz w:val="18"/>
      <w:szCs w:val="20"/>
    </w:rPr>
  </w:style>
  <w:style w:type="paragraph" w:customStyle="1" w:styleId="298">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299">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30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01">
    <w:name w:val="纯文本1"/>
    <w:basedOn w:val="1"/>
    <w:qFormat/>
    <w:uiPriority w:val="0"/>
    <w:pPr>
      <w:adjustRightInd w:val="0"/>
      <w:textAlignment w:val="baseline"/>
    </w:pPr>
    <w:rPr>
      <w:rFonts w:ascii="宋体" w:hAnsi="Courier New" w:eastAsia="宋体" w:cs="Times New Roman"/>
      <w:szCs w:val="20"/>
    </w:rPr>
  </w:style>
  <w:style w:type="paragraph" w:customStyle="1" w:styleId="302">
    <w:name w:val="1"/>
    <w:basedOn w:val="1"/>
    <w:next w:val="1"/>
    <w:qFormat/>
    <w:uiPriority w:val="0"/>
    <w:rPr>
      <w:rFonts w:ascii="Calibri" w:hAnsi="Calibri" w:eastAsia="宋体" w:cs="Times New Roman"/>
    </w:rPr>
  </w:style>
  <w:style w:type="paragraph" w:customStyle="1" w:styleId="303">
    <w:name w:val="Char Char Char Char Char Char Char Char Char Char Char Char Char Char Char Char Char Char Char1"/>
    <w:basedOn w:val="1"/>
    <w:qFormat/>
    <w:uiPriority w:val="0"/>
    <w:rPr>
      <w:rFonts w:ascii="Times New Roman" w:hAnsi="Times New Roman" w:eastAsia="宋体" w:cs="Times New Roman"/>
      <w:szCs w:val="20"/>
    </w:rPr>
  </w:style>
  <w:style w:type="paragraph" w:customStyle="1" w:styleId="30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05">
    <w:name w:val="纯文本11"/>
    <w:basedOn w:val="1"/>
    <w:qFormat/>
    <w:uiPriority w:val="0"/>
    <w:pPr>
      <w:widowControl/>
      <w:spacing w:line="440" w:lineRule="exact"/>
      <w:ind w:firstLine="200" w:firstLineChars="200"/>
      <w:jc w:val="left"/>
    </w:pPr>
    <w:rPr>
      <w:rFonts w:ascii="宋体" w:hAnsi="Courier New" w:eastAsia="宋体" w:cs="Times New Roman"/>
      <w:kern w:val="0"/>
      <w:sz w:val="24"/>
      <w:szCs w:val="20"/>
      <w:lang w:eastAsia="en-US"/>
    </w:rPr>
  </w:style>
  <w:style w:type="paragraph" w:customStyle="1" w:styleId="306">
    <w:name w:val="格式2"/>
    <w:qFormat/>
    <w:uiPriority w:val="0"/>
    <w:pPr>
      <w:widowControl w:val="0"/>
      <w:adjustRightInd w:val="0"/>
      <w:snapToGrid w:val="0"/>
      <w:spacing w:before="50" w:line="440" w:lineRule="exact"/>
      <w:jc w:val="both"/>
    </w:pPr>
    <w:rPr>
      <w:rFonts w:ascii="Calibri" w:hAnsi="Calibri" w:eastAsia="宋体" w:cs="Times New Roman"/>
      <w:snapToGrid w:val="0"/>
      <w:sz w:val="24"/>
      <w:lang w:val="en-US" w:eastAsia="zh-CN" w:bidi="ar-SA"/>
    </w:rPr>
  </w:style>
  <w:style w:type="paragraph" w:customStyle="1" w:styleId="307">
    <w:name w:val="修订1"/>
    <w:qFormat/>
    <w:uiPriority w:val="0"/>
    <w:rPr>
      <w:rFonts w:ascii="Calibri" w:hAnsi="Calibri" w:eastAsia="宋体" w:cs="Times New Roman"/>
      <w:kern w:val="2"/>
      <w:sz w:val="21"/>
      <w:szCs w:val="22"/>
      <w:lang w:val="en-US" w:eastAsia="zh-CN" w:bidi="ar-SA"/>
    </w:rPr>
  </w:style>
  <w:style w:type="paragraph" w:customStyle="1" w:styleId="308">
    <w:name w:val="样式 标题 3 + (中文) 黑体 小四 非加粗 段前: 7.8 磅 段后: 0 磅 行距: 固定值 20 磅"/>
    <w:basedOn w:val="5"/>
    <w:qFormat/>
    <w:uiPriority w:val="0"/>
    <w:pPr>
      <w:spacing w:before="0" w:after="0" w:line="400" w:lineRule="exact"/>
    </w:pPr>
    <w:rPr>
      <w:rFonts w:eastAsia="黑体"/>
      <w:b w:val="0"/>
      <w:bCs/>
      <w:sz w:val="24"/>
    </w:rPr>
  </w:style>
  <w:style w:type="paragraph" w:customStyle="1" w:styleId="309">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310">
    <w:name w:val="样式 正文缩进正文（首行缩进两字）特点ALT+Z表正文正文非缩进四号段1Normal Indent Char2...1"/>
    <w:basedOn w:val="4"/>
    <w:qFormat/>
    <w:uiPriority w:val="0"/>
    <w:pPr>
      <w:tabs>
        <w:tab w:val="left" w:pos="1260"/>
      </w:tabs>
      <w:spacing w:before="1320" w:after="240" w:line="300" w:lineRule="auto"/>
      <w:ind w:left="1260" w:hanging="420"/>
      <w:jc w:val="center"/>
    </w:pPr>
    <w:rPr>
      <w:bCs/>
      <w:kern w:val="0"/>
    </w:rPr>
  </w:style>
  <w:style w:type="paragraph" w:customStyle="1" w:styleId="311">
    <w:name w:val="样式 标题 1 + 黑体 三号 非加粗 居中 段前: 6 磅 段后: 6 磅 行距: 固定值 20 磅"/>
    <w:basedOn w:val="3"/>
    <w:qFormat/>
    <w:uiPriority w:val="0"/>
    <w:pPr>
      <w:spacing w:before="120" w:after="120" w:line="400" w:lineRule="exact"/>
    </w:pPr>
    <w:rPr>
      <w:rFonts w:ascii="黑体" w:hAnsi="黑体" w:eastAsia="黑体"/>
      <w:b w:val="0"/>
      <w:bCs/>
      <w:sz w:val="32"/>
    </w:rPr>
  </w:style>
  <w:style w:type="paragraph" w:customStyle="1" w:styleId="312">
    <w:name w:val="样式 标题 1 + 宋体 居中 段前: 48 磅 段后: 12 磅 行距: 1.5 倍行距"/>
    <w:basedOn w:val="3"/>
    <w:qFormat/>
    <w:uiPriority w:val="0"/>
    <w:pPr>
      <w:snapToGrid w:val="0"/>
      <w:spacing w:before="1560" w:after="240"/>
    </w:pPr>
    <w:rPr>
      <w:rFonts w:ascii="宋体" w:hAnsi="宋体"/>
      <w:b w:val="0"/>
      <w:bCs/>
      <w:kern w:val="2"/>
      <w:sz w:val="36"/>
    </w:rPr>
  </w:style>
  <w:style w:type="paragraph" w:customStyle="1" w:styleId="313">
    <w:name w:val="样式 宋体"/>
    <w:basedOn w:val="1"/>
    <w:qFormat/>
    <w:uiPriority w:val="0"/>
    <w:pPr>
      <w:spacing w:line="360" w:lineRule="auto"/>
      <w:ind w:firstLine="100" w:firstLineChars="100"/>
    </w:pPr>
    <w:rPr>
      <w:rFonts w:ascii="宋体" w:hAnsi="宋体" w:eastAsia="宋体" w:cs="宋体"/>
      <w:szCs w:val="20"/>
    </w:rPr>
  </w:style>
  <w:style w:type="paragraph" w:customStyle="1" w:styleId="31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16">
    <w:name w:val="xl30"/>
    <w:basedOn w:val="1"/>
    <w:qFormat/>
    <w:uiPriority w:val="0"/>
    <w:pPr>
      <w:widowControl/>
      <w:pBdr>
        <w:left w:val="single" w:color="auto" w:sz="6" w:space="0"/>
        <w:bottom w:val="single" w:color="auto" w:sz="6" w:space="0"/>
        <w:right w:val="single" w:color="auto" w:sz="6" w:space="0"/>
      </w:pBdr>
      <w:adjustRightInd w:val="0"/>
      <w:spacing w:before="100" w:after="100"/>
      <w:jc w:val="center"/>
      <w:textAlignment w:val="center"/>
    </w:pPr>
    <w:rPr>
      <w:rFonts w:ascii="宋体" w:hAnsi="宋体" w:eastAsia="宋体" w:cs="Times New Roman"/>
      <w:kern w:val="0"/>
      <w:szCs w:val="20"/>
    </w:rPr>
  </w:style>
  <w:style w:type="paragraph" w:customStyle="1" w:styleId="317">
    <w:name w:val="文档结构图1"/>
    <w:basedOn w:val="1"/>
    <w:qFormat/>
    <w:uiPriority w:val="0"/>
    <w:pPr>
      <w:shd w:val="clear" w:color="auto" w:fill="000080"/>
      <w:spacing w:line="440" w:lineRule="exact"/>
      <w:ind w:firstLine="200" w:firstLineChars="200"/>
    </w:pPr>
    <w:rPr>
      <w:rFonts w:ascii="Times New Roman" w:hAnsi="Times New Roman" w:eastAsia="宋体" w:cs="Times New Roman"/>
      <w:szCs w:val="24"/>
    </w:rPr>
  </w:style>
  <w:style w:type="paragraph" w:customStyle="1" w:styleId="318">
    <w:name w:val="默认段落字体 Para Char Char Char Char Char Char Char"/>
    <w:basedOn w:val="1"/>
    <w:qFormat/>
    <w:uiPriority w:val="0"/>
    <w:rPr>
      <w:rFonts w:ascii="Tahoma" w:hAnsi="Tahoma" w:eastAsia="宋体" w:cs="Times New Roman"/>
      <w:sz w:val="24"/>
      <w:szCs w:val="20"/>
    </w:rPr>
  </w:style>
  <w:style w:type="paragraph" w:customStyle="1" w:styleId="319">
    <w:name w:val="表格2"/>
    <w:basedOn w:val="1"/>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320">
    <w:name w:val="xl47"/>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321">
    <w:name w:val="表格"/>
    <w:basedOn w:val="1"/>
    <w:qFormat/>
    <w:uiPriority w:val="0"/>
    <w:pPr>
      <w:jc w:val="center"/>
    </w:pPr>
    <w:rPr>
      <w:rFonts w:ascii="华文细黑" w:hAnsi="华文细黑" w:eastAsia="宋体" w:cs="Times New Roman"/>
      <w:kern w:val="0"/>
      <w:szCs w:val="20"/>
    </w:rPr>
  </w:style>
  <w:style w:type="paragraph" w:customStyle="1" w:styleId="322">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sz w:val="28"/>
    </w:rPr>
  </w:style>
  <w:style w:type="paragraph" w:customStyle="1" w:styleId="3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24">
    <w:name w:val="pa-2"/>
    <w:basedOn w:val="1"/>
    <w:qFormat/>
    <w:uiPriority w:val="0"/>
    <w:pPr>
      <w:widowControl/>
      <w:spacing w:line="360" w:lineRule="atLeast"/>
      <w:ind w:firstLine="420"/>
    </w:pPr>
    <w:rPr>
      <w:rFonts w:ascii="宋体" w:hAnsi="宋体" w:eastAsia="宋体" w:cs="宋体"/>
      <w:kern w:val="0"/>
      <w:sz w:val="24"/>
      <w:szCs w:val="24"/>
    </w:rPr>
  </w:style>
  <w:style w:type="paragraph" w:customStyle="1" w:styleId="325">
    <w:name w:val="样式4"/>
    <w:basedOn w:val="5"/>
    <w:qFormat/>
    <w:uiPriority w:val="0"/>
    <w:rPr>
      <w:rFonts w:eastAsia="Arial"/>
    </w:rPr>
  </w:style>
  <w:style w:type="paragraph" w:styleId="326">
    <w:name w:val="List Paragraph"/>
    <w:basedOn w:val="1"/>
    <w:qFormat/>
    <w:uiPriority w:val="0"/>
    <w:pPr>
      <w:ind w:firstLine="420" w:firstLineChars="200"/>
    </w:pPr>
    <w:rPr>
      <w:rFonts w:ascii="Calibri" w:hAnsi="Calibri" w:eastAsia="宋体" w:cs="Times New Roman"/>
    </w:rPr>
  </w:style>
  <w:style w:type="paragraph" w:customStyle="1" w:styleId="327">
    <w:name w:val="Address"/>
    <w:basedOn w:val="1"/>
    <w:next w:val="1"/>
    <w:qFormat/>
    <w:uiPriority w:val="0"/>
    <w:pPr>
      <w:widowControl/>
      <w:autoSpaceDE w:val="0"/>
      <w:autoSpaceDN w:val="0"/>
      <w:adjustRightInd w:val="0"/>
      <w:jc w:val="left"/>
    </w:pPr>
    <w:rPr>
      <w:rFonts w:ascii="Calibri" w:hAnsi="Calibri" w:eastAsia="宋体" w:cs="Times New Roman"/>
      <w:i/>
      <w:kern w:val="0"/>
      <w:sz w:val="24"/>
      <w:szCs w:val="20"/>
    </w:rPr>
  </w:style>
  <w:style w:type="paragraph" w:customStyle="1" w:styleId="328">
    <w:name w:val="格式1"/>
    <w:basedOn w:val="1"/>
    <w:qFormat/>
    <w:uiPriority w:val="0"/>
    <w:pPr>
      <w:spacing w:before="156" w:beforeLines="50"/>
      <w:jc w:val="center"/>
    </w:pPr>
    <w:rPr>
      <w:rFonts w:ascii="黑体" w:hAnsi="宋体" w:eastAsia="黑体" w:cs="Times New Roman"/>
      <w:b/>
      <w:color w:val="000000"/>
      <w:sz w:val="32"/>
      <w:szCs w:val="20"/>
    </w:rPr>
  </w:style>
  <w:style w:type="paragraph" w:customStyle="1" w:styleId="329">
    <w:name w:val="font7"/>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330">
    <w:name w:val="H2"/>
    <w:basedOn w:val="1"/>
    <w:next w:val="1"/>
    <w:qFormat/>
    <w:uiPriority w:val="0"/>
    <w:pPr>
      <w:keepNext/>
      <w:autoSpaceDE w:val="0"/>
      <w:autoSpaceDN w:val="0"/>
      <w:adjustRightInd w:val="0"/>
      <w:spacing w:before="100" w:after="100"/>
      <w:jc w:val="left"/>
      <w:outlineLvl w:val="2"/>
    </w:pPr>
    <w:rPr>
      <w:rFonts w:ascii="Calibri" w:hAnsi="Calibri" w:eastAsia="宋体" w:cs="Times New Roman"/>
      <w:b/>
      <w:kern w:val="0"/>
      <w:sz w:val="36"/>
      <w:szCs w:val="20"/>
    </w:rPr>
  </w:style>
  <w:style w:type="paragraph" w:customStyle="1" w:styleId="331">
    <w:name w:val="标题 3_0"/>
    <w:basedOn w:val="229"/>
    <w:next w:val="229"/>
    <w:qFormat/>
    <w:uiPriority w:val="0"/>
    <w:pPr>
      <w:keepNext/>
      <w:keepLines/>
      <w:spacing w:before="120" w:after="120"/>
      <w:jc w:val="left"/>
      <w:outlineLvl w:val="1"/>
    </w:pPr>
    <w:rPr>
      <w:b/>
      <w:bCs/>
      <w:sz w:val="28"/>
      <w:szCs w:val="32"/>
    </w:rPr>
  </w:style>
  <w:style w:type="paragraph" w:customStyle="1" w:styleId="332">
    <w:name w:val="6'"/>
    <w:basedOn w:val="1"/>
    <w:qFormat/>
    <w:uiPriority w:val="0"/>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333">
    <w:name w:val="Char Char Char1 Char"/>
    <w:basedOn w:val="1"/>
    <w:qFormat/>
    <w:uiPriority w:val="0"/>
    <w:rPr>
      <w:rFonts w:ascii="Calibri" w:hAnsi="Calibri" w:eastAsia="宋体" w:cs="Times New Roman"/>
      <w:szCs w:val="20"/>
    </w:rPr>
  </w:style>
  <w:style w:type="paragraph" w:customStyle="1" w:styleId="334">
    <w:name w:val="样式 样式 宋体 + 首行缩进:  1 字符"/>
    <w:basedOn w:val="313"/>
    <w:qFormat/>
    <w:uiPriority w:val="0"/>
    <w:pPr>
      <w:spacing w:before="50" w:beforeLines="50" w:after="50" w:afterLines="50" w:line="240" w:lineRule="auto"/>
    </w:pPr>
  </w:style>
  <w:style w:type="paragraph" w:customStyle="1" w:styleId="335">
    <w:name w:val="样式3"/>
    <w:basedOn w:val="5"/>
    <w:qFormat/>
    <w:uiPriority w:val="0"/>
    <w:rPr>
      <w:rFonts w:eastAsia="Arial"/>
    </w:rPr>
  </w:style>
  <w:style w:type="paragraph" w:customStyle="1" w:styleId="336">
    <w:name w:val="pa-3"/>
    <w:basedOn w:val="1"/>
    <w:qFormat/>
    <w:uiPriority w:val="0"/>
    <w:pPr>
      <w:widowControl/>
      <w:spacing w:line="360" w:lineRule="atLeast"/>
      <w:ind w:firstLine="300"/>
    </w:pPr>
    <w:rPr>
      <w:rFonts w:ascii="宋体" w:hAnsi="宋体" w:eastAsia="宋体" w:cs="宋体"/>
      <w:kern w:val="0"/>
      <w:sz w:val="24"/>
      <w:szCs w:val="24"/>
    </w:rPr>
  </w:style>
  <w:style w:type="paragraph" w:customStyle="1" w:styleId="337">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38">
    <w:name w:val="样式1"/>
    <w:basedOn w:val="5"/>
    <w:qFormat/>
    <w:uiPriority w:val="0"/>
    <w:rPr>
      <w:rFonts w:eastAsia="Arial"/>
    </w:rPr>
  </w:style>
  <w:style w:type="paragraph" w:customStyle="1" w:styleId="339">
    <w:name w:val="正文文本 31"/>
    <w:basedOn w:val="1"/>
    <w:qFormat/>
    <w:uiPriority w:val="0"/>
    <w:pPr>
      <w:widowControl/>
      <w:spacing w:after="120" w:line="440" w:lineRule="exact"/>
      <w:ind w:firstLine="200" w:firstLineChars="200"/>
      <w:jc w:val="left"/>
    </w:pPr>
    <w:rPr>
      <w:rFonts w:ascii="Calibri" w:hAnsi="Calibri" w:eastAsia="宋体" w:cs="Times New Roman"/>
      <w:kern w:val="0"/>
      <w:sz w:val="16"/>
      <w:szCs w:val="20"/>
      <w:lang w:eastAsia="en-US"/>
    </w:rPr>
  </w:style>
  <w:style w:type="paragraph" w:customStyle="1" w:styleId="340">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41">
    <w:name w:val="myparagraph"/>
    <w:basedOn w:val="1"/>
    <w:qFormat/>
    <w:uiPriority w:val="0"/>
    <w:pPr>
      <w:widowControl/>
      <w:spacing w:before="100" w:beforeAutospacing="1" w:after="100" w:afterAutospacing="1"/>
      <w:ind w:firstLine="480"/>
      <w:jc w:val="left"/>
    </w:pPr>
    <w:rPr>
      <w:rFonts w:hint="eastAsia" w:ascii="宋体" w:hAnsi="宋体" w:eastAsia="宋体" w:cs="Times New Roman"/>
      <w:kern w:val="0"/>
      <w:sz w:val="28"/>
      <w:szCs w:val="20"/>
    </w:rPr>
  </w:style>
  <w:style w:type="paragraph" w:customStyle="1" w:styleId="342">
    <w:name w:val="金安桥正文"/>
    <w:basedOn w:val="22"/>
    <w:qFormat/>
    <w:uiPriority w:val="0"/>
    <w:pPr>
      <w:adjustRightInd w:val="0"/>
      <w:spacing w:after="0" w:line="300" w:lineRule="auto"/>
      <w:ind w:left="0" w:leftChars="0" w:firstLine="200" w:firstLineChars="200"/>
      <w:jc w:val="left"/>
    </w:pPr>
    <w:rPr>
      <w:rFonts w:ascii="Times New Roman" w:hAnsi="Times New Roman" w:eastAsia="宋体" w:cs="Times New Roman"/>
      <w:kern w:val="0"/>
      <w:sz w:val="24"/>
      <w:szCs w:val="20"/>
    </w:rPr>
  </w:style>
  <w:style w:type="paragraph" w:customStyle="1" w:styleId="343">
    <w:name w:val="H3"/>
    <w:basedOn w:val="1"/>
    <w:next w:val="1"/>
    <w:qFormat/>
    <w:uiPriority w:val="0"/>
    <w:pPr>
      <w:keepNext/>
      <w:autoSpaceDE w:val="0"/>
      <w:autoSpaceDN w:val="0"/>
      <w:adjustRightInd w:val="0"/>
      <w:spacing w:before="100" w:after="100"/>
      <w:jc w:val="left"/>
      <w:outlineLvl w:val="3"/>
    </w:pPr>
    <w:rPr>
      <w:rFonts w:ascii="Calibri" w:hAnsi="Calibri" w:eastAsia="宋体" w:cs="Times New Roman"/>
      <w:b/>
      <w:kern w:val="0"/>
      <w:sz w:val="28"/>
      <w:szCs w:val="20"/>
    </w:rPr>
  </w:style>
  <w:style w:type="paragraph" w:customStyle="1" w:styleId="344">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45">
    <w:name w:val="H1"/>
    <w:basedOn w:val="1"/>
    <w:next w:val="1"/>
    <w:qFormat/>
    <w:uiPriority w:val="0"/>
    <w:pPr>
      <w:keepNext/>
      <w:autoSpaceDE w:val="0"/>
      <w:autoSpaceDN w:val="0"/>
      <w:adjustRightInd w:val="0"/>
      <w:spacing w:before="100" w:after="100"/>
      <w:jc w:val="left"/>
      <w:outlineLvl w:val="1"/>
    </w:pPr>
    <w:rPr>
      <w:rFonts w:ascii="Calibri" w:hAnsi="Calibri" w:eastAsia="宋体" w:cs="Times New Roman"/>
      <w:b/>
      <w:kern w:val="36"/>
      <w:sz w:val="48"/>
      <w:szCs w:val="20"/>
    </w:rPr>
  </w:style>
  <w:style w:type="paragraph" w:customStyle="1" w:styleId="346">
    <w:name w:val="正文 + 黑体"/>
    <w:basedOn w:val="1"/>
    <w:qFormat/>
    <w:uiPriority w:val="0"/>
    <w:pPr>
      <w:autoSpaceDE w:val="0"/>
      <w:autoSpaceDN w:val="0"/>
      <w:adjustRightInd w:val="0"/>
      <w:jc w:val="left"/>
    </w:pPr>
    <w:rPr>
      <w:rFonts w:ascii="黑体" w:hAnsi="宋体" w:eastAsia="黑体" w:cs="TimesNewRomanPSMT"/>
      <w:kern w:val="0"/>
      <w:sz w:val="24"/>
      <w:szCs w:val="24"/>
    </w:rPr>
  </w:style>
  <w:style w:type="paragraph" w:customStyle="1" w:styleId="34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8">
    <w:name w:val="日期1"/>
    <w:basedOn w:val="1"/>
    <w:next w:val="1"/>
    <w:qFormat/>
    <w:uiPriority w:val="0"/>
    <w:pPr>
      <w:spacing w:line="440" w:lineRule="exact"/>
      <w:ind w:left="100" w:leftChars="2500" w:firstLine="200" w:firstLineChars="200"/>
    </w:pPr>
    <w:rPr>
      <w:rFonts w:ascii="Times New Roman" w:hAnsi="Times New Roman" w:eastAsia="宋体" w:cs="Times New Roman"/>
      <w:szCs w:val="24"/>
    </w:rPr>
  </w:style>
  <w:style w:type="table" w:customStyle="1" w:styleId="349">
    <w:name w:val="TableGrid"/>
    <w:qFormat/>
    <w:uiPriority w:val="0"/>
    <w:rPr>
      <w:rFonts w:ascii="等线" w:hAnsi="等线" w:eastAsia="等线"/>
    </w:rPr>
    <w:tblPr>
      <w:tblCellMar>
        <w:top w:w="0" w:type="dxa"/>
        <w:left w:w="0" w:type="dxa"/>
        <w:bottom w:w="0" w:type="dxa"/>
        <w:right w:w="0" w:type="dxa"/>
      </w:tblCellMar>
    </w:tblPr>
  </w:style>
  <w:style w:type="character" w:customStyle="1" w:styleId="350">
    <w:name w:val="表格文字 Char"/>
    <w:link w:val="276"/>
    <w:qFormat/>
    <w:uiPriority w:val="2"/>
    <w:rPr>
      <w:rFonts w:ascii="Calibri" w:hAnsi="Calibr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10002</Words>
  <Characters>10645</Characters>
  <Lines>110</Lines>
  <Paragraphs>31</Paragraphs>
  <TotalTime>13</TotalTime>
  <ScaleCrop>false</ScaleCrop>
  <LinksUpToDate>false</LinksUpToDate>
  <CharactersWithSpaces>11693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2022-12-13T06:47:00Z</dcterms:created>
  <dc:creator>徐 靖</dc:creator>
  <cp:lastModifiedBy>罗冠群</cp:lastModifiedBy>
  <cp:lastPrinted>2024-10-21T02:48:00Z</cp:lastPrinted>
  <dcterms:modified xsi:type="dcterms:W3CDTF">2024-12-10T08:01:16Z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CED3D0F00034478197C6CCAC99B516CB_13</vt:lpwstr>
  </property>
</Properties>
</file>