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rPr>
          <w:rFonts w:ascii="宋体" w:hAnsi="宋体" w:eastAsia="宋体" w:cs="宋体"/>
          <w:color w:val="000000"/>
          <w:kern w:val="0"/>
          <w:sz w:val="24"/>
          <w:szCs w:val="24"/>
        </w:rPr>
      </w:pPr>
    </w:p>
    <w:p>
      <w:pPr>
        <w:rPr>
          <w:rFonts w:ascii="宋体" w:hAnsi="宋体" w:eastAsia="宋体" w:cs="宋体"/>
          <w:color w:val="000000"/>
        </w:rPr>
      </w:pPr>
      <w:bookmarkStart w:id="0" w:name="EBce946293528d42149d6ec34d99d11ef5"/>
      <w:r>
        <w:rPr>
          <w:rFonts w:hint="eastAsia" w:ascii="宋体" w:hAnsi="宋体" w:eastAsia="宋体" w:cs="宋体"/>
          <w:color w:val="000000"/>
          <w:sz w:val="20"/>
        </w:rPr>
        <w:t xml:space="preserve"> </w:t>
      </w:r>
      <w:bookmarkEnd w:id="0"/>
      <w:bookmarkStart w:id="1" w:name="_Toc19442"/>
      <w:bookmarkStart w:id="2" w:name="_Toc309586341"/>
      <w:bookmarkStart w:id="3" w:name="_Toc367"/>
      <w:bookmarkStart w:id="4" w:name="_Toc288656291"/>
      <w:bookmarkStart w:id="5" w:name="_Toc5819"/>
      <w:bookmarkStart w:id="6" w:name="_Toc15129"/>
    </w:p>
    <w:p>
      <w:pPr>
        <w:spacing w:before="156" w:after="156"/>
        <w:jc w:val="center"/>
        <w:rPr>
          <w:rFonts w:ascii="宋体" w:hAnsi="宋体" w:eastAsia="宋体" w:cs="宋体"/>
          <w:b/>
          <w:color w:val="000000"/>
          <w:sz w:val="44"/>
          <w:szCs w:val="32"/>
        </w:rPr>
      </w:pPr>
      <w:r>
        <w:rPr>
          <w:rFonts w:hint="eastAsia" w:ascii="宋体" w:hAnsi="宋体" w:eastAsia="宋体" w:cs="宋体"/>
          <w:b/>
          <w:color w:val="000000"/>
          <w:sz w:val="44"/>
          <w:szCs w:val="32"/>
        </w:rPr>
        <w:t>三峰港务1-3#泊位下方及后延清淤项目</w:t>
      </w:r>
    </w:p>
    <w:p>
      <w:pPr>
        <w:spacing w:before="156" w:after="156"/>
        <w:jc w:val="center"/>
        <w:rPr>
          <w:rFonts w:ascii="宋体" w:hAnsi="宋体" w:eastAsia="宋体" w:cs="宋体"/>
          <w:b/>
          <w:color w:val="000000"/>
          <w:sz w:val="32"/>
          <w:szCs w:val="32"/>
        </w:rPr>
      </w:pPr>
      <w:r>
        <w:rPr>
          <w:rFonts w:hint="eastAsia" w:ascii="宋体" w:hAnsi="宋体" w:eastAsia="宋体" w:cs="宋体"/>
          <w:b/>
          <w:color w:val="000000"/>
          <w:sz w:val="44"/>
          <w:szCs w:val="32"/>
        </w:rPr>
        <w:t>招 标 文 件</w:t>
      </w:r>
      <w:r>
        <w:rPr>
          <w:rFonts w:hint="eastAsia" w:ascii="宋体" w:hAnsi="宋体" w:eastAsia="宋体" w:cs="宋体"/>
          <w:b/>
          <w:color w:val="000000"/>
          <w:sz w:val="32"/>
          <w:szCs w:val="32"/>
        </w:rPr>
        <w:t xml:space="preserve">  </w:t>
      </w: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before="156" w:after="156"/>
        <w:jc w:val="center"/>
        <w:rPr>
          <w:rFonts w:ascii="宋体" w:hAnsi="宋体" w:eastAsia="宋体" w:cs="宋体"/>
          <w:b/>
          <w:bCs/>
          <w:color w:val="000000"/>
          <w:sz w:val="32"/>
          <w:szCs w:val="32"/>
          <w:u w:val="single"/>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u w:val="single"/>
        </w:rPr>
        <w:t xml:space="preserve"> 三峰港务1-3#泊位下方及后延清淤项目 </w:t>
      </w:r>
    </w:p>
    <w:p>
      <w:pPr>
        <w:pStyle w:val="66"/>
        <w:ind w:firstLine="420"/>
        <w:rPr>
          <w:b/>
          <w:bCs/>
          <w:lang w:val="en-US"/>
        </w:rPr>
      </w:pPr>
    </w:p>
    <w:p>
      <w:pPr>
        <w:spacing w:before="156" w:after="156" w:line="480" w:lineRule="auto"/>
        <w:ind w:firstLine="964" w:firstLineChars="300"/>
        <w:jc w:val="left"/>
        <w:rPr>
          <w:rFonts w:ascii="宋体" w:hAnsi="宋体" w:eastAsia="宋体" w:cs="宋体"/>
          <w:b/>
          <w:bCs/>
          <w:color w:val="000000"/>
          <w:sz w:val="32"/>
          <w:szCs w:val="32"/>
          <w:u w:val="single"/>
        </w:rPr>
      </w:pPr>
      <w:r>
        <w:rPr>
          <w:rFonts w:hint="eastAsia" w:ascii="宋体" w:hAnsi="宋体" w:eastAsia="宋体" w:cs="宋体"/>
          <w:b/>
          <w:bCs/>
          <w:color w:val="000000"/>
          <w:sz w:val="32"/>
          <w:szCs w:val="32"/>
        </w:rPr>
        <w:t>招标人：</w:t>
      </w:r>
      <w:r>
        <w:rPr>
          <w:rFonts w:hint="eastAsia" w:ascii="宋体" w:hAnsi="宋体" w:eastAsia="宋体" w:cs="宋体"/>
          <w:b/>
          <w:bCs/>
          <w:color w:val="000000"/>
          <w:sz w:val="32"/>
          <w:szCs w:val="32"/>
          <w:u w:val="single"/>
        </w:rPr>
        <w:t xml:space="preserve"> 三峰靖江港务物流有限责任公司   </w:t>
      </w:r>
    </w:p>
    <w:p>
      <w:pPr>
        <w:pStyle w:val="66"/>
        <w:ind w:firstLine="420"/>
        <w:rPr>
          <w:b/>
          <w:bCs/>
          <w:lang w:val="en-US"/>
        </w:rPr>
      </w:pPr>
    </w:p>
    <w:p>
      <w:pPr>
        <w:spacing w:before="156" w:after="156" w:line="480" w:lineRule="auto"/>
        <w:ind w:firstLine="964" w:firstLineChars="300"/>
        <w:jc w:val="left"/>
        <w:rPr>
          <w:rFonts w:ascii="宋体" w:hAnsi="宋体" w:eastAsia="宋体" w:cs="宋体"/>
          <w:b/>
          <w:bCs/>
          <w:color w:val="000000"/>
          <w:sz w:val="32"/>
          <w:szCs w:val="32"/>
          <w:u w:val="single"/>
        </w:rPr>
      </w:pPr>
      <w:r>
        <w:rPr>
          <w:rFonts w:hint="eastAsia" w:ascii="宋体" w:hAnsi="宋体" w:eastAsia="宋体" w:cs="宋体"/>
          <w:b/>
          <w:bCs/>
          <w:color w:val="000000"/>
          <w:sz w:val="32"/>
          <w:szCs w:val="32"/>
        </w:rPr>
        <w:t>招标代理机构：</w:t>
      </w:r>
      <w:r>
        <w:rPr>
          <w:rFonts w:hint="eastAsia" w:ascii="宋体" w:hAnsi="宋体" w:eastAsia="宋体" w:cs="宋体"/>
          <w:b/>
          <w:bCs/>
          <w:color w:val="000000"/>
          <w:sz w:val="32"/>
          <w:szCs w:val="32"/>
          <w:u w:val="single"/>
        </w:rPr>
        <w:t>泰州市皓德工程管理有限公司</w:t>
      </w:r>
    </w:p>
    <w:p>
      <w:pPr>
        <w:pStyle w:val="66"/>
        <w:ind w:firstLine="420"/>
        <w:rPr>
          <w:b/>
          <w:bCs/>
          <w:lang w:val="en-US"/>
        </w:rPr>
      </w:pPr>
    </w:p>
    <w:p>
      <w:pPr>
        <w:pStyle w:val="66"/>
        <w:ind w:firstLine="420"/>
        <w:rPr>
          <w:b/>
          <w:bCs/>
          <w:lang w:val="en-US"/>
        </w:rPr>
      </w:pPr>
    </w:p>
    <w:p>
      <w:pPr>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日　　期：</w:t>
      </w:r>
      <w:bookmarkStart w:id="7" w:name="EB3905e512b92140619239787b9df87a9d"/>
      <w:bookmarkEnd w:id="7"/>
      <w:bookmarkStart w:id="8" w:name="EB4825fb139a1c48e08dcb2e4c347bf6e0"/>
      <w:bookmarkEnd w:id="8"/>
      <w:r>
        <w:rPr>
          <w:rFonts w:hint="eastAsia" w:ascii="宋体" w:hAnsi="宋体" w:eastAsia="宋体" w:cs="宋体"/>
          <w:b/>
          <w:bCs/>
          <w:color w:val="000000"/>
          <w:sz w:val="32"/>
          <w:szCs w:val="32"/>
        </w:rPr>
        <w:t>2022年12月</w:t>
      </w:r>
    </w:p>
    <w:bookmarkEnd w:id="1"/>
    <w:bookmarkEnd w:id="2"/>
    <w:bookmarkEnd w:id="3"/>
    <w:bookmarkEnd w:id="4"/>
    <w:bookmarkEnd w:id="5"/>
    <w:bookmarkEnd w:id="6"/>
    <w:p>
      <w:pPr>
        <w:pStyle w:val="15"/>
        <w:spacing w:line="440" w:lineRule="exact"/>
        <w:ind w:firstLine="0" w:firstLineChars="0"/>
        <w:jc w:val="center"/>
        <w:rPr>
          <w:rFonts w:ascii="宋体" w:hAnsi="宋体" w:eastAsia="宋体" w:cs="宋体"/>
          <w:b/>
          <w:color w:val="000000"/>
          <w:sz w:val="36"/>
          <w:szCs w:val="36"/>
        </w:rPr>
      </w:pPr>
      <w:bookmarkStart w:id="9" w:name="_Toc275703040"/>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rPr>
          <w:rFonts w:ascii="宋体" w:hAnsi="宋体" w:eastAsia="宋体" w:cs="宋体"/>
          <w:b/>
          <w:color w:val="000000"/>
          <w:sz w:val="36"/>
          <w:szCs w:val="36"/>
        </w:rPr>
      </w:pPr>
    </w:p>
    <w:bookmarkEnd w:id="9"/>
    <w:p>
      <w:pPr>
        <w:pStyle w:val="15"/>
        <w:spacing w:line="440" w:lineRule="exact"/>
        <w:ind w:firstLine="0" w:firstLineChars="0"/>
        <w:jc w:val="center"/>
        <w:rPr>
          <w:rFonts w:ascii="宋体" w:hAnsi="宋体" w:eastAsia="宋体" w:cs="宋体"/>
          <w:b/>
          <w:color w:val="000000"/>
          <w:sz w:val="32"/>
        </w:rPr>
      </w:pPr>
      <w:bookmarkStart w:id="10" w:name="_Toc275703020"/>
      <w:bookmarkStart w:id="11" w:name="_Toc494527197"/>
      <w:bookmarkStart w:id="12" w:name="_Toc29953"/>
      <w:bookmarkStart w:id="13" w:name="_Toc19567"/>
      <w:bookmarkStart w:id="14" w:name="_Toc456684184"/>
    </w:p>
    <w:p>
      <w:pPr>
        <w:pStyle w:val="15"/>
        <w:spacing w:line="440" w:lineRule="exact"/>
        <w:ind w:firstLine="0" w:firstLineChars="0"/>
        <w:jc w:val="center"/>
        <w:rPr>
          <w:rFonts w:ascii="宋体" w:hAnsi="宋体" w:eastAsia="宋体" w:cs="宋体"/>
          <w:b/>
          <w:color w:val="000000"/>
          <w:sz w:val="32"/>
        </w:rPr>
      </w:pPr>
    </w:p>
    <w:p>
      <w:pPr>
        <w:pStyle w:val="15"/>
        <w:spacing w:line="440" w:lineRule="exact"/>
        <w:ind w:firstLine="0" w:firstLineChars="0"/>
        <w:jc w:val="center"/>
        <w:rPr>
          <w:rFonts w:ascii="宋体" w:hAnsi="宋体" w:eastAsia="宋体" w:cs="宋体"/>
          <w:b/>
          <w:color w:val="000000"/>
          <w:sz w:val="32"/>
        </w:rPr>
      </w:pPr>
      <w:r>
        <w:rPr>
          <w:rFonts w:hint="eastAsia" w:ascii="宋体" w:hAnsi="宋体" w:eastAsia="宋体" w:cs="宋体"/>
          <w:b/>
          <w:color w:val="000000"/>
          <w:sz w:val="32"/>
        </w:rPr>
        <w:t>目 录</w:t>
      </w:r>
    </w:p>
    <w:p>
      <w:pPr>
        <w:pStyle w:val="37"/>
        <w:tabs>
          <w:tab w:val="right" w:leader="dot" w:pos="9185"/>
        </w:tabs>
      </w:pPr>
      <w:bookmarkStart w:id="15" w:name="_Toc179632530"/>
      <w:bookmarkStart w:id="16" w:name="_Toc152042303"/>
      <w:bookmarkStart w:id="17" w:name="_Toc152045514"/>
      <w:bookmarkStart w:id="18" w:name="_Toc152045527"/>
      <w:bookmarkStart w:id="19" w:name="_Toc275703019"/>
      <w:bookmarkStart w:id="20" w:name="_Toc144974495"/>
      <w:bookmarkStart w:id="21" w:name="_Toc179632544"/>
      <w:bookmarkStart w:id="22" w:name="_Toc152042290"/>
      <w:bookmarkStart w:id="23" w:name="EB992724f1575845a4b690bda850fb10e8"/>
      <w:bookmarkStart w:id="24" w:name="_Toc456684182"/>
      <w:bookmarkStart w:id="25" w:name="_Toc144974482"/>
      <w:r>
        <w:rPr>
          <w:rFonts w:hint="eastAsia" w:ascii="宋体" w:hAnsi="宋体" w:cs="宋体"/>
          <w:b w:val="0"/>
          <w:color w:val="000000"/>
          <w:sz w:val="28"/>
          <w:szCs w:val="28"/>
        </w:rPr>
        <w:fldChar w:fldCharType="begin"/>
      </w:r>
      <w:r>
        <w:rPr>
          <w:rFonts w:hint="eastAsia" w:ascii="宋体" w:hAnsi="宋体" w:cs="宋体"/>
          <w:b w:val="0"/>
          <w:color w:val="000000"/>
          <w:sz w:val="28"/>
          <w:szCs w:val="28"/>
        </w:rPr>
        <w:instrText xml:space="preserve">TOC \o "1-1" \h \u </w:instrText>
      </w:r>
      <w:r>
        <w:rPr>
          <w:rFonts w:hint="eastAsia" w:ascii="宋体" w:hAnsi="宋体" w:cs="宋体"/>
          <w:b w:val="0"/>
          <w:color w:val="000000"/>
          <w:sz w:val="28"/>
          <w:szCs w:val="28"/>
        </w:rPr>
        <w:fldChar w:fldCharType="separate"/>
      </w:r>
      <w:r>
        <w:fldChar w:fldCharType="begin"/>
      </w:r>
      <w:r>
        <w:instrText xml:space="preserve"> HYPERLINK \l "_Toc32592" </w:instrText>
      </w:r>
      <w:r>
        <w:fldChar w:fldCharType="separate"/>
      </w:r>
      <w:r>
        <w:rPr>
          <w:rFonts w:hint="eastAsia" w:ascii="宋体" w:hAnsi="宋体" w:cs="宋体"/>
          <w:bCs w:val="0"/>
          <w:szCs w:val="36"/>
        </w:rPr>
        <w:t>第一章 招标公告</w:t>
      </w:r>
      <w:r>
        <w:tab/>
      </w:r>
      <w:r>
        <w:fldChar w:fldCharType="end"/>
      </w:r>
    </w:p>
    <w:p>
      <w:pPr>
        <w:pStyle w:val="37"/>
        <w:tabs>
          <w:tab w:val="right" w:leader="dot" w:pos="9185"/>
        </w:tabs>
      </w:pPr>
      <w:r>
        <w:fldChar w:fldCharType="begin"/>
      </w:r>
      <w:r>
        <w:instrText xml:space="preserve"> HYPERLINK \l "_Toc31332" </w:instrText>
      </w:r>
      <w:r>
        <w:fldChar w:fldCharType="separate"/>
      </w:r>
      <w:r>
        <w:rPr>
          <w:rFonts w:hint="eastAsia" w:ascii="宋体" w:hAnsi="宋体" w:cs="宋体"/>
          <w:szCs w:val="32"/>
        </w:rPr>
        <w:t>同步发布本工程公告</w:t>
      </w:r>
      <w:r>
        <w:tab/>
      </w:r>
      <w:r>
        <w:fldChar w:fldCharType="end"/>
      </w:r>
    </w:p>
    <w:p>
      <w:pPr>
        <w:pStyle w:val="37"/>
        <w:tabs>
          <w:tab w:val="right" w:leader="dot" w:pos="9185"/>
        </w:tabs>
        <w:spacing w:before="0" w:after="0"/>
      </w:pPr>
      <w:r>
        <w:fldChar w:fldCharType="begin"/>
      </w:r>
      <w:r>
        <w:instrText xml:space="preserve"> HYPERLINK \l "_Toc25125" </w:instrText>
      </w:r>
      <w:r>
        <w:fldChar w:fldCharType="separate"/>
      </w:r>
      <w:r>
        <w:rPr>
          <w:rFonts w:hint="eastAsia" w:ascii="宋体" w:hAnsi="宋体" w:cs="宋体"/>
        </w:rPr>
        <w:t>第二章 投标人须知</w:t>
      </w:r>
      <w:r>
        <w:tab/>
      </w:r>
      <w:r>
        <w:rPr>
          <w:rFonts w:hint="eastAsia"/>
        </w:rPr>
        <w:t>6</w:t>
      </w:r>
      <w:r>
        <w:rPr>
          <w:rFonts w:hint="eastAsia"/>
        </w:rPr>
        <w:fldChar w:fldCharType="end"/>
      </w:r>
    </w:p>
    <w:p>
      <w:pPr>
        <w:pStyle w:val="37"/>
        <w:tabs>
          <w:tab w:val="right" w:leader="dot" w:pos="9185"/>
        </w:tabs>
      </w:pPr>
      <w:r>
        <w:fldChar w:fldCharType="begin"/>
      </w:r>
      <w:r>
        <w:instrText xml:space="preserve"> HYPERLINK \l "_Toc7449" </w:instrText>
      </w:r>
      <w:r>
        <w:fldChar w:fldCharType="separate"/>
      </w:r>
      <w:r>
        <w:rPr>
          <w:rFonts w:hint="eastAsia" w:ascii="宋体" w:hAnsi="宋体" w:cs="宋体"/>
        </w:rPr>
        <w:t>第三章  评标办法（综合评分）</w:t>
      </w:r>
      <w:r>
        <w:tab/>
      </w:r>
      <w:r>
        <w:rPr>
          <w:rFonts w:hint="eastAsia"/>
        </w:rPr>
        <w:t>1</w:t>
      </w:r>
      <w:r>
        <w:rPr>
          <w:rFonts w:hint="eastAsia"/>
        </w:rPr>
        <w:fldChar w:fldCharType="end"/>
      </w:r>
      <w:r>
        <w:rPr>
          <w:rFonts w:hint="eastAsia"/>
        </w:rPr>
        <w:t>8</w:t>
      </w:r>
    </w:p>
    <w:p>
      <w:pPr>
        <w:pStyle w:val="37"/>
        <w:tabs>
          <w:tab w:val="right" w:leader="dot" w:pos="9185"/>
        </w:tabs>
      </w:pPr>
      <w:r>
        <w:fldChar w:fldCharType="begin"/>
      </w:r>
      <w:r>
        <w:instrText xml:space="preserve"> HYPERLINK \l "_Toc24070" </w:instrText>
      </w:r>
      <w:r>
        <w:fldChar w:fldCharType="separate"/>
      </w:r>
      <w:r>
        <w:rPr>
          <w:rFonts w:hint="eastAsia" w:ascii="宋体" w:hAnsi="宋体" w:cs="宋体"/>
        </w:rPr>
        <w:t>第四章 合同条款及格</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"_Toc11409" </w:instrText>
      </w:r>
      <w:r>
        <w:fldChar w:fldCharType="separate"/>
      </w:r>
      <w:r>
        <w:rPr>
          <w:rFonts w:hint="eastAsia"/>
        </w:rPr>
        <w:t xml:space="preserve">第五章 </w:t>
      </w:r>
      <w:r>
        <w:rPr>
          <w:rFonts w:hint="eastAsia" w:ascii="宋体" w:hAnsi="宋体" w:cs="宋体"/>
        </w:rPr>
        <w:t>工程量清单、图纸</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"_Toc6379" </w:instrText>
      </w:r>
      <w:r>
        <w:fldChar w:fldCharType="separate"/>
      </w:r>
      <w:r>
        <w:rPr>
          <w:rFonts w:hint="eastAsia" w:ascii="宋体" w:hAnsi="宋体" w:cs="宋体"/>
        </w:rPr>
        <w:t>第六章</w:t>
      </w:r>
      <w:r>
        <w:rPr>
          <w:rFonts w:hint="eastAsia" w:ascii="宋体" w:hAnsi="宋体" w:cs="宋体"/>
          <w:szCs w:val="32"/>
        </w:rPr>
        <w:t xml:space="preserve">   </w:t>
      </w:r>
      <w:r>
        <w:rPr>
          <w:rFonts w:hint="eastAsia" w:ascii="宋体" w:hAnsi="宋体" w:cs="宋体"/>
        </w:rPr>
        <w:t>技术规范</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"_Toc26655" </w:instrText>
      </w:r>
      <w:r>
        <w:fldChar w:fldCharType="separate"/>
      </w:r>
      <w:r>
        <w:rPr>
          <w:rFonts w:hint="eastAsia" w:ascii="宋体" w:hAnsi="宋体" w:cs="宋体"/>
        </w:rPr>
        <w:t>第七章</w:t>
      </w:r>
      <w:r>
        <w:rPr>
          <w:rFonts w:hint="eastAsia" w:ascii="宋体" w:hAnsi="宋体" w:cs="宋体"/>
          <w:szCs w:val="32"/>
        </w:rPr>
        <w:t xml:space="preserve">   </w:t>
      </w:r>
      <w:r>
        <w:rPr>
          <w:rFonts w:hint="eastAsia" w:ascii="宋体" w:hAnsi="宋体" w:cs="宋体"/>
        </w:rPr>
        <w:t>投标文件格式</w:t>
      </w:r>
      <w:r>
        <w:tab/>
      </w:r>
      <w:r>
        <w:fldChar w:fldCharType="end"/>
      </w:r>
      <w:r>
        <w:rPr>
          <w:rFonts w:hint="eastAsia"/>
        </w:rPr>
        <w:t>21</w:t>
      </w:r>
    </w:p>
    <w:p>
      <w:pPr>
        <w:tabs>
          <w:tab w:val="center" w:pos="5183"/>
        </w:tabs>
        <w:rPr>
          <w:rFonts w:ascii="宋体" w:hAnsi="宋体" w:eastAsia="宋体" w:cs="宋体"/>
          <w:color w:val="000000"/>
          <w:szCs w:val="28"/>
        </w:rPr>
      </w:pPr>
      <w:r>
        <w:rPr>
          <w:rFonts w:hint="eastAsia" w:ascii="宋体" w:hAnsi="宋体" w:eastAsia="宋体" w:cs="宋体"/>
          <w:color w:val="000000"/>
          <w:szCs w:val="28"/>
        </w:rPr>
        <w:fldChar w:fldCharType="end"/>
      </w:r>
      <w:r>
        <w:rPr>
          <w:rFonts w:ascii="宋体" w:hAnsi="宋体" w:eastAsia="宋体" w:cs="宋体"/>
          <w:color w:val="000000"/>
          <w:szCs w:val="28"/>
        </w:rPr>
        <w:tab/>
      </w: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Cs/>
          <w:color w:val="000000"/>
          <w:sz w:val="36"/>
          <w:szCs w:val="36"/>
        </w:rPr>
      </w:pPr>
    </w:p>
    <w:bookmarkEnd w:id="15"/>
    <w:bookmarkEnd w:id="16"/>
    <w:bookmarkEnd w:id="17"/>
    <w:bookmarkEnd w:id="18"/>
    <w:bookmarkEnd w:id="19"/>
    <w:bookmarkEnd w:id="20"/>
    <w:bookmarkEnd w:id="21"/>
    <w:bookmarkEnd w:id="22"/>
    <w:bookmarkEnd w:id="23"/>
    <w:bookmarkEnd w:id="24"/>
    <w:bookmarkEnd w:id="25"/>
    <w:p>
      <w:pPr>
        <w:pStyle w:val="139"/>
        <w:rPr>
          <w:rFonts w:ascii="宋体" w:hAnsi="宋体" w:eastAsia="宋体"/>
          <w:color w:val="000000"/>
          <w:sz w:val="36"/>
          <w:szCs w:val="36"/>
        </w:rPr>
      </w:pPr>
      <w:bookmarkStart w:id="26" w:name="_Toc494527195"/>
      <w:bookmarkStart w:id="27" w:name="_Toc32592"/>
      <w:r>
        <w:rPr>
          <w:rFonts w:hint="eastAsia" w:ascii="宋体" w:hAnsi="宋体" w:eastAsia="宋体"/>
          <w:bCs w:val="0"/>
          <w:color w:val="000000"/>
          <w:sz w:val="36"/>
          <w:szCs w:val="36"/>
        </w:rPr>
        <w:t>第一章 招标公告</w:t>
      </w:r>
      <w:bookmarkEnd w:id="26"/>
      <w:bookmarkEnd w:id="27"/>
      <w:bookmarkStart w:id="28" w:name="_Toc275703042"/>
    </w:p>
    <w:bookmarkEnd w:id="28"/>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一、工程概况：</w:t>
      </w:r>
    </w:p>
    <w:p>
      <w:pPr>
        <w:spacing w:before="156" w:after="156"/>
        <w:ind w:firstLine="420"/>
        <w:rPr>
          <w:rFonts w:ascii="宋体" w:hAnsi="宋体" w:eastAsia="宋体" w:cs="宋体"/>
          <w:b/>
          <w:color w:val="000000"/>
          <w:sz w:val="44"/>
          <w:szCs w:val="32"/>
        </w:rPr>
      </w:pPr>
      <w:r>
        <w:rPr>
          <w:rFonts w:hint="eastAsia" w:ascii="宋体" w:hAnsi="宋体" w:eastAsia="宋体" w:cs="宋体"/>
          <w:color w:val="000000"/>
          <w:kern w:val="0"/>
          <w:sz w:val="28"/>
          <w:szCs w:val="28"/>
          <w:lang w:bidi="ar"/>
        </w:rPr>
        <w:t>1、工程名称：</w:t>
      </w:r>
      <w:r>
        <w:rPr>
          <w:rFonts w:hint="eastAsia" w:ascii="宋体" w:hAnsi="宋体" w:eastAsia="宋体" w:cs="宋体"/>
          <w:color w:val="000000"/>
          <w:kern w:val="0"/>
          <w:sz w:val="28"/>
          <w:szCs w:val="28"/>
          <w:u w:val="single"/>
          <w:lang w:bidi="ar"/>
        </w:rPr>
        <w:t>三峰港务1-3#泊位下方及后延清淤项目</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2、工程地点：</w:t>
      </w:r>
      <w:r>
        <w:rPr>
          <w:rFonts w:hint="eastAsia" w:ascii="宋体" w:hAnsi="宋体" w:eastAsia="宋体" w:cs="宋体"/>
          <w:color w:val="000000"/>
          <w:kern w:val="0"/>
          <w:sz w:val="28"/>
          <w:szCs w:val="28"/>
          <w:u w:val="single"/>
          <w:lang w:bidi="ar"/>
        </w:rPr>
        <w:t>靖江市西来镇</w:t>
      </w:r>
    </w:p>
    <w:p>
      <w:pPr>
        <w:widowControl/>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bidi="ar"/>
        </w:rPr>
        <w:t xml:space="preserve">3、工程范围: </w:t>
      </w:r>
      <w:r>
        <w:rPr>
          <w:rFonts w:hint="eastAsia" w:ascii="宋体" w:hAnsi="宋体" w:eastAsia="宋体" w:cs="宋体"/>
          <w:color w:val="000000"/>
          <w:kern w:val="0"/>
          <w:sz w:val="28"/>
          <w:szCs w:val="28"/>
          <w:u w:val="single"/>
        </w:rPr>
        <w:t>具体工程量及要求详见招标文件附件</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4、施工工期：</w:t>
      </w:r>
      <w:r>
        <w:rPr>
          <w:rFonts w:hint="eastAsia" w:ascii="宋体" w:hAnsi="宋体" w:eastAsia="宋体" w:cs="宋体"/>
          <w:color w:val="000000"/>
          <w:kern w:val="0"/>
          <w:sz w:val="28"/>
          <w:szCs w:val="28"/>
          <w:u w:val="single"/>
          <w:lang w:bidi="ar"/>
        </w:rPr>
        <w:t>50个工作日</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二、工程造价：</w:t>
      </w:r>
    </w:p>
    <w:tbl>
      <w:tblPr>
        <w:tblStyle w:val="52"/>
        <w:tblW w:w="7943" w:type="dxa"/>
        <w:tblInd w:w="39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552"/>
        <w:gridCol w:w="2696"/>
        <w:gridCol w:w="2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trPr>
        <w:tc>
          <w:tcPr>
            <w:tcW w:w="255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color w:val="000000"/>
                <w:kern w:val="0"/>
                <w:sz w:val="28"/>
                <w:szCs w:val="28"/>
                <w:lang w:bidi="ar"/>
              </w:rPr>
              <w:t>招标控制价</w:t>
            </w:r>
          </w:p>
        </w:tc>
        <w:tc>
          <w:tcPr>
            <w:tcW w:w="26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ind w:firstLine="240"/>
              <w:jc w:val="center"/>
              <w:rPr>
                <w:rFonts w:ascii="宋体" w:hAnsi="宋体" w:eastAsia="宋体" w:cs="宋体"/>
                <w:sz w:val="28"/>
                <w:szCs w:val="28"/>
              </w:rPr>
            </w:pPr>
            <w:r>
              <w:rPr>
                <w:rFonts w:hint="eastAsia" w:eastAsia="宋体" w:cs="宋体"/>
                <w:color w:val="000000"/>
                <w:kern w:val="0"/>
                <w:sz w:val="28"/>
                <w:szCs w:val="28"/>
                <w:lang w:bidi="ar"/>
              </w:rPr>
              <w:t>25</w:t>
            </w:r>
            <w:r>
              <w:rPr>
                <w:rFonts w:hint="eastAsia" w:ascii="宋体" w:hAnsi="宋体" w:eastAsia="宋体" w:cs="宋体"/>
                <w:color w:val="000000"/>
                <w:kern w:val="0"/>
                <w:sz w:val="28"/>
                <w:szCs w:val="28"/>
                <w:lang w:bidi="ar"/>
              </w:rPr>
              <w:t>元/每立方</w:t>
            </w:r>
          </w:p>
        </w:tc>
        <w:tc>
          <w:tcPr>
            <w:tcW w:w="2693"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color w:val="000000"/>
                <w:kern w:val="0"/>
                <w:sz w:val="28"/>
                <w:szCs w:val="28"/>
                <w:lang w:bidi="ar"/>
              </w:rPr>
              <w:t>该价含税，价格含机械、人工等所有费用在内。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255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color w:val="000000"/>
                <w:kern w:val="0"/>
                <w:sz w:val="28"/>
                <w:szCs w:val="28"/>
                <w:lang w:bidi="ar"/>
              </w:rPr>
              <w:t>投标最高限价</w:t>
            </w:r>
          </w:p>
        </w:tc>
        <w:tc>
          <w:tcPr>
            <w:tcW w:w="269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ind w:firstLine="240"/>
              <w:jc w:val="center"/>
              <w:rPr>
                <w:rFonts w:ascii="宋体" w:hAnsi="宋体" w:eastAsia="宋体" w:cs="宋体"/>
                <w:sz w:val="28"/>
                <w:szCs w:val="28"/>
              </w:rPr>
            </w:pPr>
            <w:r>
              <w:rPr>
                <w:rFonts w:hint="eastAsia" w:eastAsia="宋体" w:cs="宋体"/>
                <w:color w:val="000000"/>
                <w:kern w:val="0"/>
                <w:sz w:val="28"/>
                <w:szCs w:val="28"/>
                <w:lang w:bidi="ar"/>
              </w:rPr>
              <w:t>25</w:t>
            </w:r>
            <w:r>
              <w:rPr>
                <w:rFonts w:hint="eastAsia" w:ascii="宋体" w:hAnsi="宋体" w:eastAsia="宋体" w:cs="宋体"/>
                <w:color w:val="000000"/>
                <w:kern w:val="0"/>
                <w:sz w:val="28"/>
                <w:szCs w:val="28"/>
                <w:lang w:bidi="ar"/>
              </w:rPr>
              <w:t>元/每立方</w:t>
            </w:r>
          </w:p>
        </w:tc>
        <w:tc>
          <w:tcPr>
            <w:tcW w:w="2693"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color w:val="666666"/>
                <w:sz w:val="28"/>
                <w:szCs w:val="28"/>
              </w:rPr>
            </w:pPr>
          </w:p>
        </w:tc>
      </w:tr>
    </w:tbl>
    <w:p>
      <w:pPr>
        <w:widowControl/>
        <w:jc w:val="left"/>
        <w:rPr>
          <w:rFonts w:ascii="宋体" w:hAnsi="宋体" w:eastAsia="宋体" w:cs="宋体"/>
          <w:sz w:val="28"/>
          <w:szCs w:val="28"/>
        </w:rPr>
      </w:pP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三、评标方式：</w:t>
      </w:r>
      <w:r>
        <w:rPr>
          <w:rFonts w:hint="eastAsia" w:ascii="宋体" w:hAnsi="宋体" w:eastAsia="宋体" w:cs="宋体"/>
          <w:color w:val="000000"/>
          <w:sz w:val="28"/>
          <w:szCs w:val="28"/>
        </w:rPr>
        <w:t>综合评分法</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四、投标人资格要求：</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1、必须是独立的企业法人，并在上年度年检合格。</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2、必须具有设行政主管部门颁发的</w:t>
      </w:r>
      <w:r>
        <w:rPr>
          <w:rFonts w:hint="eastAsia" w:ascii="宋体" w:hAnsi="宋体" w:eastAsia="宋体" w:cs="宋体"/>
          <w:color w:val="000000"/>
          <w:kern w:val="0"/>
          <w:sz w:val="28"/>
          <w:szCs w:val="28"/>
          <w:u w:val="single"/>
          <w:lang w:bidi="ar"/>
        </w:rPr>
        <w:t>港口与航道工程总承包</w:t>
      </w:r>
      <w:r>
        <w:rPr>
          <w:rFonts w:hint="eastAsia" w:ascii="宋体" w:hAnsi="宋体" w:eastAsia="宋体" w:cs="宋体"/>
          <w:color w:val="FF0000"/>
          <w:kern w:val="0"/>
          <w:sz w:val="28"/>
          <w:szCs w:val="28"/>
          <w:u w:val="single"/>
          <w:lang w:bidi="ar"/>
        </w:rPr>
        <w:t>三</w:t>
      </w:r>
      <w:r>
        <w:rPr>
          <w:rFonts w:hint="eastAsia" w:ascii="宋体" w:hAnsi="宋体" w:eastAsia="宋体" w:cs="宋体"/>
          <w:color w:val="000000"/>
          <w:kern w:val="0"/>
          <w:sz w:val="28"/>
          <w:szCs w:val="28"/>
          <w:u w:val="single"/>
          <w:lang w:bidi="ar"/>
        </w:rPr>
        <w:t>级</w:t>
      </w:r>
      <w:r>
        <w:rPr>
          <w:rFonts w:hint="eastAsia" w:ascii="宋体" w:hAnsi="宋体" w:eastAsia="宋体" w:cs="宋体"/>
          <w:color w:val="000000"/>
          <w:kern w:val="0"/>
          <w:sz w:val="28"/>
          <w:szCs w:val="28"/>
          <w:lang w:bidi="ar"/>
        </w:rPr>
        <w:t>（含）以上资质、建筑业施工安全生产许可证，</w:t>
      </w:r>
      <w:r>
        <w:rPr>
          <w:rFonts w:hint="eastAsia" w:ascii="宋体" w:hAnsi="宋体" w:eastAsia="宋体" w:cs="宋体"/>
          <w:color w:val="000000"/>
          <w:sz w:val="28"/>
          <w:szCs w:val="28"/>
          <w:shd w:val="clear" w:color="auto" w:fill="FFFFFF"/>
        </w:rPr>
        <w:t>并在有效期内。</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3、本次招标不接受联合体投标。</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五、投标及开标时间：</w:t>
      </w:r>
    </w:p>
    <w:p>
      <w:pPr>
        <w:widowControl/>
        <w:ind w:firstLine="48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1、投标截止时间：2022年12月</w:t>
      </w:r>
      <w:r>
        <w:rPr>
          <w:rFonts w:hint="eastAsia" w:ascii="宋体" w:hAnsi="宋体" w:eastAsia="宋体" w:cs="宋体"/>
          <w:color w:val="000000"/>
          <w:kern w:val="0"/>
          <w:sz w:val="28"/>
          <w:szCs w:val="28"/>
          <w:u w:val="single"/>
          <w:lang w:bidi="ar"/>
        </w:rPr>
        <w:t xml:space="preserve"> 19</w:t>
      </w:r>
      <w:r>
        <w:rPr>
          <w:rFonts w:hint="eastAsia" w:ascii="宋体" w:hAnsi="宋体" w:eastAsia="宋体" w:cs="宋体"/>
          <w:color w:val="000000"/>
          <w:kern w:val="0"/>
          <w:sz w:val="28"/>
          <w:szCs w:val="28"/>
          <w:lang w:bidi="ar"/>
        </w:rPr>
        <w:t>日14:30。</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联系人：胡先生   联系电话：</w:t>
      </w:r>
      <w:r>
        <w:rPr>
          <w:rFonts w:ascii="宋体" w:hAnsi="宋体" w:eastAsia="宋体" w:cs="宋体"/>
          <w:color w:val="000000"/>
          <w:kern w:val="0"/>
          <w:sz w:val="28"/>
          <w:szCs w:val="28"/>
          <w:lang w:bidi="ar"/>
        </w:rPr>
        <w:t>15896203790</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2、开标时间：2022年12月</w:t>
      </w:r>
      <w:r>
        <w:rPr>
          <w:rFonts w:hint="eastAsia" w:ascii="宋体" w:hAnsi="宋体" w:eastAsia="宋体" w:cs="宋体"/>
          <w:color w:val="000000"/>
          <w:kern w:val="0"/>
          <w:sz w:val="28"/>
          <w:szCs w:val="28"/>
          <w:u w:val="single"/>
          <w:lang w:bidi="ar"/>
        </w:rPr>
        <w:t xml:space="preserve"> 19 </w:t>
      </w:r>
      <w:r>
        <w:rPr>
          <w:rFonts w:hint="eastAsia" w:ascii="宋体" w:hAnsi="宋体" w:eastAsia="宋体" w:cs="宋体"/>
          <w:color w:val="000000"/>
          <w:kern w:val="0"/>
          <w:sz w:val="28"/>
          <w:szCs w:val="28"/>
          <w:lang w:bidi="ar"/>
        </w:rPr>
        <w:t>日14:30，地点：靖江市</w:t>
      </w:r>
      <w:r>
        <w:rPr>
          <w:rFonts w:hint="eastAsia" w:ascii="宋体" w:hAnsi="宋体" w:eastAsia="宋体" w:cs="宋体"/>
          <w:color w:val="000000"/>
          <w:kern w:val="0"/>
          <w:sz w:val="28"/>
          <w:szCs w:val="28"/>
        </w:rPr>
        <w:t>西来镇通江路2号</w:t>
      </w:r>
      <w:r>
        <w:rPr>
          <w:rFonts w:ascii="宋体" w:hAnsi="宋体" w:eastAsia="宋体" w:cs="宋体"/>
          <w:color w:val="000000"/>
          <w:kern w:val="0"/>
          <w:sz w:val="28"/>
          <w:szCs w:val="28"/>
        </w:rPr>
        <w:t>办公楼</w:t>
      </w:r>
      <w:r>
        <w:rPr>
          <w:rFonts w:hint="eastAsia" w:ascii="宋体" w:hAnsi="宋体" w:eastAsia="宋体" w:cs="宋体"/>
          <w:color w:val="000000"/>
          <w:kern w:val="0"/>
          <w:sz w:val="28"/>
          <w:szCs w:val="28"/>
        </w:rPr>
        <w:t>5楼</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六、违约责任：按相关法律法规规定执行。</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七、最终解释权归招标方所有。</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
      <w:pPr>
        <w:pStyle w:val="4"/>
        <w:rPr>
          <w:rFonts w:ascii="宋体" w:hAnsi="宋体" w:cs="宋体"/>
          <w:color w:val="000000"/>
        </w:rPr>
      </w:pPr>
      <w:r>
        <w:rPr>
          <w:rFonts w:hint="eastAsia" w:ascii="宋体" w:hAnsi="宋体" w:cs="宋体"/>
          <w:color w:val="000000"/>
        </w:rPr>
        <w:t>第二章 投标人须知</w:t>
      </w:r>
      <w:bookmarkEnd w:id="10"/>
      <w:bookmarkEnd w:id="11"/>
      <w:bookmarkEnd w:id="12"/>
      <w:bookmarkEnd w:id="13"/>
      <w:bookmarkEnd w:id="14"/>
    </w:p>
    <w:p>
      <w:pPr>
        <w:pStyle w:val="5"/>
        <w:rPr>
          <w:rFonts w:ascii="宋体" w:hAnsi="宋体" w:eastAsia="宋体" w:cs="宋体"/>
          <w:color w:val="000000"/>
        </w:rPr>
      </w:pPr>
      <w:r>
        <w:rPr>
          <w:rFonts w:hint="eastAsia" w:ascii="宋体" w:hAnsi="宋体" w:eastAsia="宋体" w:cs="宋体"/>
          <w:color w:val="000000"/>
        </w:rPr>
        <w:t>投标人须知前附表</w:t>
      </w:r>
    </w:p>
    <w:tbl>
      <w:tblPr>
        <w:tblStyle w:val="52"/>
        <w:tblW w:w="10384" w:type="dxa"/>
        <w:jc w:val="center"/>
        <w:tblLayout w:type="fixed"/>
        <w:tblCellMar>
          <w:top w:w="0" w:type="dxa"/>
          <w:left w:w="108" w:type="dxa"/>
          <w:bottom w:w="0" w:type="dxa"/>
          <w:right w:w="108" w:type="dxa"/>
        </w:tblCellMar>
      </w:tblPr>
      <w:tblGrid>
        <w:gridCol w:w="992"/>
        <w:gridCol w:w="15"/>
        <w:gridCol w:w="2883"/>
        <w:gridCol w:w="6494"/>
      </w:tblGrid>
      <w:tr>
        <w:tblPrEx>
          <w:tblCellMar>
            <w:top w:w="0" w:type="dxa"/>
            <w:left w:w="108" w:type="dxa"/>
            <w:bottom w:w="0" w:type="dxa"/>
            <w:right w:w="108" w:type="dxa"/>
          </w:tblCellMar>
        </w:tblPrEx>
        <w:trPr>
          <w:trHeight w:val="41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29" w:name="_Toc275703046"/>
            <w:bookmarkStart w:id="30" w:name="_Toc152045529"/>
            <w:bookmarkStart w:id="31" w:name="_Toc152042305"/>
            <w:bookmarkStart w:id="32" w:name="_Toc144974497"/>
            <w:bookmarkStart w:id="33" w:name="_Toc179632546"/>
            <w:r>
              <w:rPr>
                <w:rFonts w:hint="eastAsia"/>
                <w:b/>
                <w:kern w:val="2"/>
                <w:sz w:val="21"/>
                <w:szCs w:val="22"/>
              </w:rPr>
              <w:t>条款号</w:t>
            </w:r>
            <w:bookmarkEnd w:id="29"/>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4" w:name="_Toc275703047"/>
            <w:r>
              <w:rPr>
                <w:rFonts w:hint="eastAsia"/>
                <w:b/>
                <w:kern w:val="2"/>
                <w:sz w:val="21"/>
                <w:szCs w:val="22"/>
              </w:rPr>
              <w:t>条  款  名  称</w:t>
            </w:r>
            <w:bookmarkEnd w:id="34"/>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5" w:name="_Toc275703048"/>
            <w:r>
              <w:rPr>
                <w:rFonts w:hint="eastAsia"/>
                <w:b/>
                <w:kern w:val="2"/>
                <w:sz w:val="21"/>
                <w:szCs w:val="22"/>
              </w:rPr>
              <w:t>编  列  内  容</w:t>
            </w:r>
            <w:bookmarkEnd w:id="35"/>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36" w:name="_Toc275703049"/>
            <w:r>
              <w:rPr>
                <w:rFonts w:hint="eastAsia"/>
                <w:kern w:val="2"/>
                <w:sz w:val="21"/>
                <w:szCs w:val="21"/>
              </w:rPr>
              <w:t>1</w:t>
            </w:r>
            <w:bookmarkEnd w:id="36"/>
            <w:r>
              <w:rPr>
                <w:rFonts w:hint="eastAsia"/>
                <w:kern w:val="2"/>
                <w:sz w:val="21"/>
                <w:szCs w:val="21"/>
              </w:rPr>
              <w:t>.1.</w:t>
            </w:r>
            <w:r>
              <w:rPr>
                <w:kern w:val="2"/>
                <w:sz w:val="21"/>
                <w:szCs w:val="21"/>
              </w:rPr>
              <w:t>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37" w:name="_Toc275703050"/>
            <w:r>
              <w:rPr>
                <w:rFonts w:hint="eastAsia"/>
              </w:rPr>
              <w:t>招标人</w:t>
            </w:r>
            <w:bookmarkEnd w:id="37"/>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38" w:name="_Toc275703051"/>
            <w:r>
              <w:rPr>
                <w:rFonts w:hint="eastAsia"/>
                <w:color w:val="000000"/>
              </w:rPr>
              <w:t>名称：</w:t>
            </w:r>
            <w:bookmarkEnd w:id="38"/>
            <w:bookmarkStart w:id="39" w:name="_Toc275703052"/>
            <w:r>
              <w:rPr>
                <w:rFonts w:hint="eastAsia"/>
                <w:color w:val="000000"/>
              </w:rPr>
              <w:t>三峰靖江港务物流有限责任公司</w:t>
            </w:r>
          </w:p>
          <w:p>
            <w:pPr>
              <w:pStyle w:val="3"/>
              <w:rPr>
                <w:kern w:val="2"/>
                <w:sz w:val="21"/>
                <w:szCs w:val="21"/>
              </w:rPr>
            </w:pPr>
            <w:r>
              <w:rPr>
                <w:rFonts w:hint="eastAsia"/>
                <w:color w:val="000000"/>
              </w:rPr>
              <w:t>地址：</w:t>
            </w:r>
            <w:bookmarkEnd w:id="39"/>
            <w:r>
              <w:rPr>
                <w:rFonts w:hint="eastAsia"/>
                <w:color w:val="000000"/>
              </w:rPr>
              <w:t>靖江市西来镇通江路2号</w:t>
            </w:r>
          </w:p>
        </w:tc>
      </w:tr>
      <w:tr>
        <w:tblPrEx>
          <w:tblCellMar>
            <w:top w:w="0" w:type="dxa"/>
            <w:left w:w="108" w:type="dxa"/>
            <w:bottom w:w="0" w:type="dxa"/>
            <w:right w:w="108" w:type="dxa"/>
          </w:tblCellMar>
        </w:tblPrEx>
        <w:trPr>
          <w:trHeight w:val="150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0" w:name="_Toc275703055"/>
            <w:r>
              <w:rPr>
                <w:rFonts w:hint="eastAsia"/>
                <w:kern w:val="2"/>
                <w:sz w:val="21"/>
                <w:szCs w:val="21"/>
              </w:rPr>
              <w:t>1.1</w:t>
            </w:r>
            <w:bookmarkEnd w:id="40"/>
            <w:r>
              <w:rPr>
                <w:rFonts w:hint="eastAsia"/>
                <w:kern w:val="2"/>
                <w:sz w:val="21"/>
                <w:szCs w:val="21"/>
              </w:rPr>
              <w:t>.</w:t>
            </w:r>
            <w:r>
              <w:rPr>
                <w:kern w:val="2"/>
                <w:sz w:val="21"/>
                <w:szCs w:val="21"/>
              </w:rPr>
              <w:t>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1" w:name="_Toc275703056"/>
            <w:r>
              <w:rPr>
                <w:rFonts w:hint="eastAsia"/>
              </w:rPr>
              <w:t>招标代理机构</w:t>
            </w:r>
            <w:bookmarkEnd w:id="4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42" w:name="_Toc275703057"/>
            <w:r>
              <w:rPr>
                <w:rFonts w:hint="eastAsia"/>
                <w:color w:val="000000"/>
              </w:rPr>
              <w:t>名称：</w:t>
            </w:r>
            <w:bookmarkEnd w:id="42"/>
            <w:bookmarkStart w:id="43" w:name="_Toc275703058"/>
            <w:r>
              <w:rPr>
                <w:rFonts w:hint="eastAsia"/>
                <w:color w:val="000000"/>
              </w:rPr>
              <w:t>泰州市皓德工程管理有限公司</w:t>
            </w:r>
          </w:p>
          <w:p>
            <w:pPr>
              <w:pStyle w:val="3"/>
              <w:rPr>
                <w:color w:val="000000"/>
              </w:rPr>
            </w:pPr>
            <w:r>
              <w:rPr>
                <w:rFonts w:hint="eastAsia"/>
                <w:color w:val="000000"/>
              </w:rPr>
              <w:t>地址：</w:t>
            </w:r>
            <w:bookmarkEnd w:id="43"/>
            <w:r>
              <w:rPr>
                <w:rFonts w:hint="eastAsia"/>
                <w:color w:val="000000"/>
              </w:rPr>
              <w:t>靖江市</w:t>
            </w:r>
            <w:bookmarkStart w:id="44" w:name="_Toc275703059"/>
            <w:r>
              <w:rPr>
                <w:rFonts w:hint="eastAsia"/>
                <w:color w:val="000000"/>
              </w:rPr>
              <w:t xml:space="preserve">人民中路163号医药大厦6楼 </w:t>
            </w:r>
          </w:p>
          <w:p>
            <w:pPr>
              <w:pStyle w:val="3"/>
              <w:rPr>
                <w:kern w:val="2"/>
                <w:sz w:val="21"/>
                <w:szCs w:val="21"/>
              </w:rPr>
            </w:pPr>
            <w:r>
              <w:rPr>
                <w:rFonts w:hint="eastAsia"/>
                <w:color w:val="000000"/>
              </w:rPr>
              <w:t>联系人：</w:t>
            </w:r>
            <w:bookmarkEnd w:id="44"/>
            <w:bookmarkStart w:id="45" w:name="_Toc275703060"/>
            <w:r>
              <w:rPr>
                <w:rFonts w:hint="eastAsia"/>
                <w:color w:val="000000"/>
              </w:rPr>
              <w:t>徐先生     电话：</w:t>
            </w:r>
            <w:bookmarkEnd w:id="45"/>
            <w:r>
              <w:rPr>
                <w:rFonts w:hint="eastAsia"/>
                <w:color w:val="000000"/>
              </w:rPr>
              <w:t xml:space="preserve">0523-84813886  </w:t>
            </w:r>
            <w:r>
              <w:rPr>
                <w:color w:val="000000"/>
              </w:rPr>
              <w:t>15252633516</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6" w:name="_Toc275703061"/>
            <w:r>
              <w:rPr>
                <w:rFonts w:hint="eastAsia"/>
                <w:kern w:val="2"/>
                <w:sz w:val="21"/>
                <w:szCs w:val="21"/>
              </w:rPr>
              <w:t>1.</w:t>
            </w:r>
            <w:bookmarkEnd w:id="46"/>
            <w:r>
              <w:rPr>
                <w:rFonts w:hint="eastAsia"/>
                <w:kern w:val="2"/>
                <w:sz w:val="21"/>
                <w:szCs w:val="21"/>
              </w:rPr>
              <w:t>1.</w:t>
            </w:r>
            <w:r>
              <w:rPr>
                <w:kern w:val="2"/>
                <w:sz w:val="21"/>
                <w:szCs w:val="21"/>
              </w:rPr>
              <w:t>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7" w:name="_Toc275703062"/>
            <w:r>
              <w:rPr>
                <w:rFonts w:hint="eastAsia"/>
              </w:rPr>
              <w:t>项目名称</w:t>
            </w:r>
            <w:bookmarkEnd w:id="47"/>
          </w:p>
        </w:tc>
        <w:tc>
          <w:tcPr>
            <w:tcW w:w="6494" w:type="dxa"/>
            <w:tcBorders>
              <w:top w:val="single" w:color="auto" w:sz="4" w:space="0"/>
              <w:left w:val="single" w:color="auto" w:sz="4" w:space="0"/>
              <w:bottom w:val="single" w:color="auto" w:sz="4" w:space="0"/>
              <w:right w:val="single" w:color="auto" w:sz="4" w:space="0"/>
            </w:tcBorders>
            <w:vAlign w:val="center"/>
          </w:tcPr>
          <w:p>
            <w:pPr>
              <w:spacing w:before="156" w:after="156"/>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三峰港务1-3#泊位下方及后延清淤项目</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8" w:name="_Toc275703064"/>
            <w:r>
              <w:rPr>
                <w:rFonts w:hint="eastAsia"/>
                <w:kern w:val="2"/>
                <w:sz w:val="21"/>
                <w:szCs w:val="21"/>
              </w:rPr>
              <w:t>1.</w:t>
            </w:r>
            <w:bookmarkEnd w:id="48"/>
            <w:r>
              <w:rPr>
                <w:rFonts w:hint="eastAsia"/>
                <w:kern w:val="2"/>
                <w:sz w:val="21"/>
                <w:szCs w:val="21"/>
              </w:rPr>
              <w:t>1.</w:t>
            </w:r>
            <w:r>
              <w:rPr>
                <w:kern w:val="2"/>
                <w:sz w:val="21"/>
                <w:szCs w:val="21"/>
              </w:rPr>
              <w:t>4</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9" w:name="_Toc275703065"/>
            <w:r>
              <w:rPr>
                <w:rFonts w:hint="eastAsia"/>
              </w:rPr>
              <w:t>建设地点</w:t>
            </w:r>
            <w:bookmarkEnd w:id="49"/>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靖江市西来镇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0" w:name="_Toc275703070"/>
            <w:r>
              <w:rPr>
                <w:rFonts w:hint="eastAsia"/>
                <w:kern w:val="2"/>
                <w:sz w:val="21"/>
                <w:szCs w:val="21"/>
              </w:rPr>
              <w:t>1.</w:t>
            </w:r>
            <w:bookmarkEnd w:id="50"/>
            <w:r>
              <w:rPr>
                <w:rFonts w:hint="eastAsia"/>
                <w:kern w:val="2"/>
                <w:sz w:val="21"/>
                <w:szCs w:val="21"/>
              </w:rPr>
              <w:t>2.</w:t>
            </w:r>
            <w:r>
              <w:rPr>
                <w:kern w:val="2"/>
                <w:sz w:val="21"/>
                <w:szCs w:val="21"/>
              </w:rPr>
              <w:t>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1" w:name="_Toc275703071"/>
            <w:r>
              <w:rPr>
                <w:rFonts w:hint="eastAsia"/>
              </w:rPr>
              <w:t>资金落实情况</w:t>
            </w:r>
            <w:bookmarkEnd w:id="5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自筹</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2" w:name="_Toc275703073"/>
            <w:r>
              <w:rPr>
                <w:rFonts w:hint="eastAsia"/>
                <w:kern w:val="2"/>
                <w:sz w:val="21"/>
                <w:szCs w:val="21"/>
              </w:rPr>
              <w:t>1.</w:t>
            </w:r>
            <w:bookmarkEnd w:id="52"/>
            <w:r>
              <w:rPr>
                <w:rFonts w:hint="eastAsia"/>
                <w:kern w:val="2"/>
                <w:sz w:val="21"/>
                <w:szCs w:val="21"/>
              </w:rPr>
              <w:t>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3" w:name="_Toc275703074"/>
            <w:r>
              <w:rPr>
                <w:rFonts w:hint="eastAsia"/>
              </w:rPr>
              <w:t>招标范围</w:t>
            </w:r>
            <w:bookmarkEnd w:id="5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4" w:name="EBb9c741aed24d423e8b73c528bf1b9b8c"/>
            <w:r>
              <w:rPr>
                <w:rFonts w:hint="eastAsia"/>
                <w:color w:val="000000"/>
              </w:rPr>
              <w:t>工程量清单内工程</w:t>
            </w:r>
            <w:bookmarkEnd w:id="54"/>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5" w:name="_Toc275703075"/>
            <w:r>
              <w:rPr>
                <w:rFonts w:hint="eastAsia"/>
                <w:kern w:val="2"/>
                <w:sz w:val="21"/>
                <w:szCs w:val="21"/>
              </w:rPr>
              <w:t>1.</w:t>
            </w:r>
            <w:bookmarkEnd w:id="55"/>
            <w:r>
              <w:rPr>
                <w:rFonts w:hint="eastAsia"/>
                <w:kern w:val="2"/>
                <w:sz w:val="21"/>
                <w:szCs w:val="21"/>
              </w:rPr>
              <w:t>3.2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6" w:name="_Toc275703076"/>
            <w:r>
              <w:rPr>
                <w:rFonts w:hint="eastAsia"/>
              </w:rPr>
              <w:t>计划工期</w:t>
            </w:r>
            <w:bookmarkEnd w:id="5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7" w:name="_Toc275703077"/>
            <w:r>
              <w:rPr>
                <w:rFonts w:hint="eastAsia"/>
                <w:color w:val="000000"/>
              </w:rPr>
              <w:t>计划工期</w:t>
            </w:r>
            <w:bookmarkStart w:id="58" w:name="EBf968361c88db47f98b6db2877dbfc14e"/>
            <w:bookmarkEnd w:id="58"/>
            <w:r>
              <w:rPr>
                <w:rFonts w:hint="eastAsia"/>
                <w:color w:val="000000"/>
              </w:rPr>
              <w:t>：</w:t>
            </w:r>
            <w:bookmarkEnd w:id="57"/>
            <w:r>
              <w:rPr>
                <w:rFonts w:hint="eastAsia"/>
                <w:color w:val="000000"/>
              </w:rPr>
              <w:t>50个工作日</w:t>
            </w:r>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9" w:name="_Toc275703080"/>
            <w:r>
              <w:rPr>
                <w:rFonts w:hint="eastAsia"/>
                <w:kern w:val="2"/>
                <w:sz w:val="21"/>
                <w:szCs w:val="21"/>
              </w:rPr>
              <w:t>1.</w:t>
            </w:r>
            <w:bookmarkEnd w:id="59"/>
            <w:r>
              <w:rPr>
                <w:rFonts w:hint="eastAsia"/>
                <w:kern w:val="2"/>
                <w:sz w:val="21"/>
                <w:szCs w:val="21"/>
              </w:rPr>
              <w:t>3.3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0" w:name="_Toc275703081"/>
            <w:r>
              <w:rPr>
                <w:rFonts w:hint="eastAsia"/>
              </w:rPr>
              <w:t>质量要求</w:t>
            </w:r>
            <w:bookmarkEnd w:id="60"/>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质量标准：</w:t>
            </w:r>
            <w:bookmarkStart w:id="61" w:name="EB93c9d8af7abe4ab5af1a5facd7c81ccf"/>
            <w:r>
              <w:rPr>
                <w:rFonts w:hint="eastAsia"/>
                <w:color w:val="000000"/>
              </w:rPr>
              <w:t>合格</w:t>
            </w:r>
            <w:bookmarkEnd w:id="61"/>
          </w:p>
          <w:p>
            <w:pPr>
              <w:pStyle w:val="3"/>
              <w:rPr>
                <w:color w:val="000000"/>
              </w:rPr>
            </w:pPr>
            <w:r>
              <w:rPr>
                <w:rFonts w:hint="eastAsia"/>
                <w:color w:val="000000"/>
              </w:rPr>
              <w:t>质量目标：</w:t>
            </w:r>
            <w:bookmarkStart w:id="62" w:name="EB8f40dc3459574906a636de31a39a4915"/>
            <w:r>
              <w:rPr>
                <w:rFonts w:hint="eastAsia"/>
                <w:color w:val="000000"/>
              </w:rPr>
              <w:t>合格</w:t>
            </w:r>
            <w:bookmarkEnd w:id="62"/>
          </w:p>
        </w:tc>
      </w:tr>
      <w:tr>
        <w:tblPrEx>
          <w:tblCellMar>
            <w:top w:w="0" w:type="dxa"/>
            <w:left w:w="108" w:type="dxa"/>
            <w:bottom w:w="0" w:type="dxa"/>
            <w:right w:w="108" w:type="dxa"/>
          </w:tblCellMar>
        </w:tblPrEx>
        <w:trPr>
          <w:trHeight w:val="277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1.4.1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投标人资质条件、能力和信誉</w:t>
            </w:r>
          </w:p>
        </w:tc>
        <w:tc>
          <w:tcPr>
            <w:tcW w:w="64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1、必须是独立的企业法人，并在上年度年检合格。</w:t>
            </w:r>
          </w:p>
          <w:p>
            <w:pPr>
              <w:widowControl/>
              <w:jc w:val="left"/>
              <w:rPr>
                <w:rFonts w:ascii="宋体" w:hAnsi="宋体" w:eastAsia="宋体" w:cs="宋体"/>
                <w:color w:val="000000"/>
                <w:kern w:val="0"/>
                <w:sz w:val="24"/>
                <w:szCs w:val="24"/>
                <w:u w:val="single"/>
                <w:lang w:bidi="ar"/>
              </w:rPr>
            </w:pPr>
            <w:r>
              <w:rPr>
                <w:rFonts w:hint="eastAsia" w:ascii="宋体" w:hAnsi="宋体" w:eastAsia="宋体" w:cs="宋体"/>
                <w:color w:val="000000"/>
                <w:kern w:val="0"/>
                <w:sz w:val="24"/>
                <w:szCs w:val="24"/>
                <w:lang w:bidi="ar"/>
              </w:rPr>
              <w:t>2、必须具有设行政主管部门颁发的</w:t>
            </w:r>
            <w:r>
              <w:rPr>
                <w:rFonts w:hint="eastAsia" w:ascii="宋体" w:hAnsi="宋体" w:eastAsia="宋体" w:cs="宋体"/>
                <w:color w:val="000000"/>
                <w:kern w:val="0"/>
                <w:sz w:val="24"/>
                <w:szCs w:val="24"/>
                <w:u w:val="single"/>
                <w:lang w:bidi="ar"/>
              </w:rPr>
              <w:t>港口与航道工程总承包三级</w:t>
            </w:r>
            <w:r>
              <w:rPr>
                <w:rFonts w:hint="eastAsia" w:ascii="宋体" w:hAnsi="宋体" w:eastAsia="宋体" w:cs="宋体"/>
                <w:color w:val="000000"/>
                <w:kern w:val="0"/>
                <w:sz w:val="24"/>
                <w:szCs w:val="24"/>
                <w:lang w:bidi="ar"/>
              </w:rPr>
              <w:t>（含）以上资质、建筑业施工安全生产许可证，</w:t>
            </w:r>
            <w:r>
              <w:rPr>
                <w:rFonts w:hint="eastAsia" w:ascii="宋体" w:hAnsi="宋体" w:eastAsia="宋体" w:cs="宋体"/>
                <w:color w:val="000000"/>
                <w:sz w:val="24"/>
                <w:szCs w:val="24"/>
                <w:shd w:val="clear" w:color="auto" w:fill="FFFFFF"/>
              </w:rPr>
              <w:t>并在有效期内。</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3、本次招标不接受联合体投标。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2.2.1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投标截止时间</w:t>
            </w:r>
          </w:p>
        </w:tc>
        <w:tc>
          <w:tcPr>
            <w:tcW w:w="6494" w:type="dxa"/>
            <w:tcBorders>
              <w:top w:val="single" w:color="auto" w:sz="4" w:space="0"/>
              <w:left w:val="single" w:color="auto" w:sz="4" w:space="0"/>
              <w:bottom w:val="single" w:color="auto" w:sz="4" w:space="0"/>
              <w:right w:val="single" w:color="auto" w:sz="4" w:space="0"/>
            </w:tcBorders>
            <w:vAlign w:val="center"/>
          </w:tcPr>
          <w:p>
            <w:pPr>
              <w:pStyle w:val="47"/>
              <w:shd w:val="clear" w:color="auto" w:fill="FFFFFF"/>
              <w:spacing w:before="0" w:beforeAutospacing="0" w:after="0" w:afterAutospacing="0" w:line="360" w:lineRule="auto"/>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2022年</w:t>
            </w:r>
            <w:r>
              <w:rPr>
                <w:rFonts w:hint="eastAsia"/>
                <w:color w:val="000000" w:themeColor="text1"/>
                <w:kern w:val="2"/>
                <w:sz w:val="21"/>
                <w:szCs w:val="21"/>
                <w14:textFill>
                  <w14:solidFill>
                    <w14:schemeClr w14:val="tx1"/>
                  </w14:solidFill>
                </w14:textFill>
              </w:rPr>
              <w:t>12</w:t>
            </w:r>
            <w:r>
              <w:rPr>
                <w:color w:val="000000" w:themeColor="text1"/>
                <w:kern w:val="2"/>
                <w:sz w:val="21"/>
                <w:szCs w:val="21"/>
                <w14:textFill>
                  <w14:solidFill>
                    <w14:schemeClr w14:val="tx1"/>
                  </w14:solidFill>
                </w14:textFill>
              </w:rPr>
              <w:t>月</w:t>
            </w:r>
            <w:r>
              <w:rPr>
                <w:rFonts w:hint="eastAsia"/>
                <w:color w:val="000000" w:themeColor="text1"/>
                <w:kern w:val="2"/>
                <w:sz w:val="21"/>
                <w:szCs w:val="21"/>
                <w:u w:val="single"/>
                <w14:textFill>
                  <w14:solidFill>
                    <w14:schemeClr w14:val="tx1"/>
                  </w14:solidFill>
                </w14:textFill>
              </w:rPr>
              <w:t xml:space="preserve"> 19</w:t>
            </w:r>
            <w:r>
              <w:rPr>
                <w:color w:val="000000" w:themeColor="text1"/>
                <w:kern w:val="2"/>
                <w:sz w:val="21"/>
                <w:szCs w:val="21"/>
                <w14:textFill>
                  <w14:solidFill>
                    <w14:schemeClr w14:val="tx1"/>
                  </w14:solidFill>
                </w14:textFill>
              </w:rPr>
              <w:t>日</w:t>
            </w:r>
            <w:r>
              <w:rPr>
                <w:rFonts w:hint="eastAsia"/>
                <w:color w:val="000000" w:themeColor="text1"/>
                <w:kern w:val="2"/>
                <w:sz w:val="21"/>
                <w:szCs w:val="21"/>
                <w14:textFill>
                  <w14:solidFill>
                    <w14:schemeClr w14:val="tx1"/>
                  </w14:solidFill>
                </w14:textFill>
              </w:rPr>
              <w:t>14</w:t>
            </w:r>
            <w:r>
              <w:rPr>
                <w:color w:val="000000" w:themeColor="text1"/>
                <w:kern w:val="2"/>
                <w:sz w:val="21"/>
                <w:szCs w:val="21"/>
                <w14:textFill>
                  <w14:solidFill>
                    <w14:schemeClr w14:val="tx1"/>
                  </w14:solidFill>
                </w14:textFill>
              </w:rPr>
              <w:t>点</w:t>
            </w:r>
            <w:r>
              <w:rPr>
                <w:rFonts w:hint="eastAsia"/>
                <w:color w:val="000000" w:themeColor="text1"/>
                <w:kern w:val="2"/>
                <w:sz w:val="21"/>
                <w:szCs w:val="21"/>
                <w14:textFill>
                  <w14:solidFill>
                    <w14:schemeClr w14:val="tx1"/>
                  </w14:solidFill>
                </w14:textFill>
              </w:rPr>
              <w:t>30</w:t>
            </w:r>
            <w:r>
              <w:rPr>
                <w:color w:val="000000" w:themeColor="text1"/>
                <w:kern w:val="2"/>
                <w:sz w:val="21"/>
                <w:szCs w:val="21"/>
                <w14:textFill>
                  <w14:solidFill>
                    <w14:schemeClr w14:val="tx1"/>
                  </w14:solidFill>
                </w14:textFill>
              </w:rPr>
              <w:t>分（北京时间）</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招标控制价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lang w:bidi="ar"/>
              </w:rPr>
            </w:pPr>
            <w:r>
              <w:rPr>
                <w:rFonts w:hint="eastAsia"/>
                <w:color w:val="000000"/>
                <w:lang w:bidi="ar"/>
              </w:rPr>
              <w:t>25元</w:t>
            </w:r>
          </w:p>
        </w:tc>
      </w:tr>
      <w:tr>
        <w:tblPrEx>
          <w:tblCellMar>
            <w:top w:w="0" w:type="dxa"/>
            <w:left w:w="108" w:type="dxa"/>
            <w:bottom w:w="0" w:type="dxa"/>
            <w:right w:w="108" w:type="dxa"/>
          </w:tblCellMar>
        </w:tblPrEx>
        <w:trPr>
          <w:trHeight w:val="3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3.2.2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最高限价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r>
              <w:rPr>
                <w:rFonts w:hint="eastAsia"/>
                <w:color w:val="000000"/>
                <w:lang w:bidi="ar"/>
              </w:rPr>
              <w:t>25元</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合同形式</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r>
              <w:rPr>
                <w:rFonts w:hint="eastAsia"/>
                <w:sz w:val="21"/>
                <w:szCs w:val="21"/>
              </w:rPr>
              <w:t>固定单价合同</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3" w:name="_Toc275703144"/>
            <w:r>
              <w:rPr>
                <w:rFonts w:hint="eastAsia"/>
              </w:rPr>
              <w:t>投标有效期</w:t>
            </w:r>
            <w:bookmarkEnd w:id="6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bookmarkStart w:id="64" w:name="_Toc275703145"/>
            <w:r>
              <w:rPr>
                <w:rFonts w:hint="eastAsia"/>
                <w:kern w:val="2"/>
                <w:sz w:val="21"/>
                <w:szCs w:val="21"/>
              </w:rPr>
              <w:t>自投标人提交投标文件截止之日起计算</w:t>
            </w:r>
            <w:bookmarkStart w:id="65" w:name="EB6bd1f7092c9547669f40d478ac8b68d2"/>
            <w:r>
              <w:rPr>
                <w:rFonts w:hint="eastAsia"/>
                <w:kern w:val="2"/>
                <w:sz w:val="21"/>
                <w:szCs w:val="21"/>
                <w:u w:val="single"/>
              </w:rPr>
              <w:t>60</w:t>
            </w:r>
            <w:bookmarkEnd w:id="65"/>
            <w:r>
              <w:rPr>
                <w:rFonts w:hint="eastAsia"/>
                <w:kern w:val="2"/>
                <w:sz w:val="21"/>
                <w:szCs w:val="21"/>
              </w:rPr>
              <w:t>天</w:t>
            </w:r>
            <w:bookmarkEnd w:id="64"/>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kern w:val="2"/>
                <w:sz w:val="21"/>
                <w:szCs w:val="21"/>
              </w:rPr>
              <w:t>4</w:t>
            </w:r>
            <w:r>
              <w:rPr>
                <w:rFonts w:hint="eastAsia"/>
                <w:kern w:val="2"/>
                <w:sz w:val="21"/>
                <w:szCs w:val="21"/>
              </w:rPr>
              <w:t>.1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6" w:name="_Toc275703184"/>
            <w:r>
              <w:rPr>
                <w:rFonts w:hint="eastAsia"/>
              </w:rPr>
              <w:t>开标时间和地点</w:t>
            </w:r>
            <w:bookmarkEnd w:id="6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b/>
                <w:color w:val="FF0000"/>
                <w:kern w:val="2"/>
                <w:sz w:val="21"/>
                <w:szCs w:val="21"/>
              </w:rPr>
            </w:pPr>
            <w:bookmarkStart w:id="67" w:name="_Toc275703185"/>
            <w:r>
              <w:rPr>
                <w:rFonts w:hint="eastAsia"/>
                <w:kern w:val="2"/>
                <w:sz w:val="21"/>
                <w:szCs w:val="21"/>
              </w:rPr>
              <w:t>开标时间：</w:t>
            </w:r>
            <w:bookmarkEnd w:id="67"/>
            <w:bookmarkStart w:id="68" w:name="EB10f1170d12104e22afa7e18059c6dcec"/>
            <w:bookmarkEnd w:id="68"/>
            <w:r>
              <w:rPr>
                <w:rFonts w:hint="eastAsia"/>
                <w:b/>
                <w:color w:val="FF0000"/>
                <w:kern w:val="2"/>
                <w:sz w:val="21"/>
                <w:szCs w:val="21"/>
              </w:rPr>
              <w:t>2022年12月 19日下午14:30分</w:t>
            </w:r>
          </w:p>
          <w:p>
            <w:pPr>
              <w:pStyle w:val="3"/>
              <w:rPr>
                <w:kern w:val="2"/>
                <w:sz w:val="21"/>
                <w:szCs w:val="21"/>
              </w:rPr>
            </w:pPr>
            <w:r>
              <w:rPr>
                <w:rFonts w:hint="eastAsia"/>
                <w:kern w:val="2"/>
                <w:sz w:val="21"/>
                <w:szCs w:val="21"/>
              </w:rPr>
              <w:t>开标地点：靖江市西来镇通江路2号</w:t>
            </w:r>
            <w:r>
              <w:rPr>
                <w:kern w:val="2"/>
                <w:sz w:val="21"/>
                <w:szCs w:val="21"/>
              </w:rPr>
              <w:t>办公楼</w:t>
            </w:r>
            <w:r>
              <w:rPr>
                <w:rFonts w:hint="eastAsia"/>
                <w:kern w:val="2"/>
                <w:sz w:val="21"/>
                <w:szCs w:val="21"/>
              </w:rPr>
              <w:t>5楼</w:t>
            </w:r>
          </w:p>
        </w:tc>
      </w:tr>
      <w:tr>
        <w:tblPrEx>
          <w:tblCellMar>
            <w:top w:w="0" w:type="dxa"/>
            <w:left w:w="108" w:type="dxa"/>
            <w:bottom w:w="0" w:type="dxa"/>
            <w:right w:w="108" w:type="dxa"/>
          </w:tblCellMar>
        </w:tblPrEx>
        <w:trPr>
          <w:trHeight w:val="64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69" w:name="_Toc275703194"/>
            <w:r>
              <w:rPr>
                <w:kern w:val="2"/>
                <w:sz w:val="21"/>
                <w:szCs w:val="21"/>
              </w:rPr>
              <w:t>5</w:t>
            </w:r>
            <w:r>
              <w:rPr>
                <w:rFonts w:hint="eastAsia"/>
                <w:kern w:val="2"/>
                <w:sz w:val="21"/>
                <w:szCs w:val="21"/>
              </w:rPr>
              <w:t>.</w:t>
            </w:r>
            <w:r>
              <w:rPr>
                <w:kern w:val="2"/>
                <w:sz w:val="21"/>
                <w:szCs w:val="21"/>
              </w:rPr>
              <w:t>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评标办法</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bookmarkStart w:id="70" w:name="EB883cc73ca71241f28fdf4c7b84a889b4"/>
            <w:r>
              <w:rPr>
                <w:rFonts w:hint="eastAsia"/>
                <w:b/>
                <w:kern w:val="2"/>
                <w:sz w:val="21"/>
                <w:szCs w:val="21"/>
              </w:rPr>
              <w:t xml:space="preserve"> </w:t>
            </w:r>
            <w:r>
              <w:rPr>
                <w:rFonts w:hint="eastAsia"/>
                <w:b/>
                <w:kern w:val="2"/>
                <w:sz w:val="21"/>
                <w:szCs w:val="21"/>
              </w:rPr>
              <w:sym w:font="Wingdings 2" w:char="0052"/>
            </w:r>
            <w:r>
              <w:rPr>
                <w:rFonts w:hint="eastAsia"/>
                <w:kern w:val="2"/>
                <w:sz w:val="21"/>
                <w:szCs w:val="21"/>
              </w:rPr>
              <w:t>综合评估法</w:t>
            </w:r>
            <w:bookmarkEnd w:id="70"/>
          </w:p>
        </w:tc>
      </w:tr>
      <w:tr>
        <w:tblPrEx>
          <w:tblCellMar>
            <w:top w:w="0" w:type="dxa"/>
            <w:left w:w="108" w:type="dxa"/>
            <w:bottom w:w="0" w:type="dxa"/>
            <w:right w:w="108" w:type="dxa"/>
          </w:tblCellMar>
        </w:tblPrEx>
        <w:trPr>
          <w:trHeight w:val="212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kern w:val="2"/>
                <w:sz w:val="21"/>
                <w:szCs w:val="21"/>
              </w:rPr>
              <w:t>6</w:t>
            </w:r>
            <w:r>
              <w:rPr>
                <w:rFonts w:hint="eastAsia"/>
                <w:kern w:val="2"/>
                <w:sz w:val="21"/>
                <w:szCs w:val="21"/>
              </w:rPr>
              <w:t>.1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ind w:firstLine="480" w:firstLineChars="200"/>
            </w:pPr>
            <w:r>
              <w:rPr>
                <w:rFonts w:hint="eastAsia"/>
              </w:rPr>
              <w:t>代理服务费</w:t>
            </w:r>
          </w:p>
          <w:p>
            <w:pPr>
              <w:pStyle w:val="3"/>
              <w:ind w:firstLine="720" w:firstLineChars="300"/>
            </w:pPr>
            <w:r>
              <w:rPr>
                <w:rFonts w:hint="eastAsia"/>
              </w:rPr>
              <w:t>收取标准</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rFonts w:hint="eastAsia"/>
                <w:szCs w:val="21"/>
              </w:rPr>
              <w:t>经甲、乙双方协商，本项目招标代理费按人民币贰万贰仟元计取（￥</w:t>
            </w:r>
            <w:r>
              <w:rPr>
                <w:szCs w:val="21"/>
              </w:rPr>
              <w:t>22000），由中标人支付，中标人在投标报价时综合考虑，在中标结果公示结束后向招标代理人全额支付该费用。</w:t>
            </w:r>
          </w:p>
          <w:p>
            <w:pPr>
              <w:pStyle w:val="3"/>
              <w:rPr>
                <w:sz w:val="21"/>
                <w:szCs w:val="21"/>
              </w:rPr>
            </w:pPr>
            <w:r>
              <w:rPr>
                <w:rFonts w:hint="eastAsia"/>
                <w:szCs w:val="21"/>
              </w:rPr>
              <w:t>注：评委费根据评标实际情况另算，由中标单位支付。</w:t>
            </w:r>
          </w:p>
        </w:tc>
      </w:tr>
      <w:bookmarkEnd w:id="69"/>
      <w:tr>
        <w:tblPrEx>
          <w:tblCellMar>
            <w:top w:w="0" w:type="dxa"/>
            <w:left w:w="108" w:type="dxa"/>
            <w:bottom w:w="0" w:type="dxa"/>
            <w:right w:w="108" w:type="dxa"/>
          </w:tblCellMar>
        </w:tblPrEx>
        <w:trPr>
          <w:trHeight w:val="469" w:hRule="atLeast"/>
          <w:jc w:val="center"/>
        </w:trPr>
        <w:tc>
          <w:tcPr>
            <w:tcW w:w="10384"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71" w:name="_Toc275703207"/>
            <w:r>
              <w:rPr>
                <w:rFonts w:hint="eastAsia"/>
                <w:b/>
                <w:kern w:val="2"/>
                <w:sz w:val="21"/>
                <w:szCs w:val="21"/>
              </w:rPr>
              <w:t>需要补充的其他内容</w:t>
            </w:r>
            <w:bookmarkEnd w:id="71"/>
          </w:p>
        </w:tc>
      </w:tr>
      <w:tr>
        <w:tblPrEx>
          <w:tblCellMar>
            <w:top w:w="0" w:type="dxa"/>
            <w:left w:w="108" w:type="dxa"/>
            <w:bottom w:w="0" w:type="dxa"/>
            <w:right w:w="108" w:type="dxa"/>
          </w:tblCellMar>
        </w:tblPrEx>
        <w:trPr>
          <w:trHeight w:val="90" w:hRule="atLeast"/>
          <w:jc w:val="center"/>
        </w:trPr>
        <w:tc>
          <w:tcPr>
            <w:tcW w:w="1007"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7</w:t>
            </w:r>
            <w:r>
              <w:rPr>
                <w:kern w:val="2"/>
                <w:sz w:val="21"/>
                <w:szCs w:val="21"/>
              </w:rPr>
              <w:t>.1</w:t>
            </w:r>
          </w:p>
        </w:tc>
        <w:tc>
          <w:tcPr>
            <w:tcW w:w="28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其他</w:t>
            </w:r>
          </w:p>
        </w:tc>
        <w:tc>
          <w:tcPr>
            <w:tcW w:w="649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s="宋体"/>
                <w:kern w:val="0"/>
                <w:szCs w:val="21"/>
              </w:rPr>
            </w:pPr>
            <w:bookmarkStart w:id="72" w:name="EBc0ee6b8aad0447b6abfa22d801aa4453"/>
            <w:r>
              <w:rPr>
                <w:rFonts w:hint="eastAsia" w:ascii="宋体" w:hAnsi="宋体" w:eastAsia="宋体" w:cs="宋体"/>
                <w:kern w:val="0"/>
                <w:szCs w:val="21"/>
              </w:rPr>
              <w:t>招标文件中的其它内容与本条款不一致的，以本条款内容为准。</w:t>
            </w:r>
          </w:p>
          <w:bookmarkEnd w:id="72"/>
          <w:p>
            <w:pPr>
              <w:pStyle w:val="66"/>
              <w:ind w:firstLine="0" w:firstLineChars="0"/>
              <w:rPr>
                <w:rFonts w:ascii="宋体" w:hAnsi="宋体" w:eastAsia="宋体" w:cs="宋体"/>
                <w:kern w:val="0"/>
                <w:szCs w:val="21"/>
                <w:lang w:val="en-US"/>
              </w:rPr>
            </w:pPr>
            <w:r>
              <w:rPr>
                <w:rFonts w:ascii="宋体" w:hAnsi="宋体" w:eastAsia="宋体" w:cs="宋体"/>
                <w:kern w:val="0"/>
                <w:szCs w:val="21"/>
                <w:lang w:val="en-US"/>
              </w:rPr>
              <w:t>结算方式</w:t>
            </w:r>
            <w:r>
              <w:rPr>
                <w:rFonts w:hint="eastAsia" w:ascii="宋体" w:hAnsi="宋体" w:eastAsia="宋体" w:cs="宋体"/>
                <w:kern w:val="0"/>
                <w:szCs w:val="21"/>
                <w:lang w:val="en-US"/>
              </w:rPr>
              <w:t>：中标后，双方另行协商。</w:t>
            </w:r>
          </w:p>
          <w:p>
            <w:pPr>
              <w:pStyle w:val="66"/>
              <w:ind w:firstLine="0" w:firstLineChars="0"/>
              <w:rPr>
                <w:rFonts w:ascii="宋体" w:hAnsi="宋体" w:eastAsia="宋体" w:cs="宋体"/>
                <w:b/>
                <w:kern w:val="0"/>
                <w:szCs w:val="21"/>
                <w:lang w:val="en-US"/>
              </w:rPr>
            </w:pPr>
            <w:r>
              <w:rPr>
                <w:rFonts w:hint="eastAsia" w:ascii="宋体" w:hAnsi="宋体" w:eastAsia="宋体" w:cs="宋体"/>
                <w:b/>
                <w:kern w:val="0"/>
                <w:szCs w:val="21"/>
                <w:lang w:val="en-US"/>
              </w:rPr>
              <w:t>中标单位根据国家相关法律法规，办理本项目施工的相关手续。如因中标单位无故拖延或办理手续不及时，导致本项目无法正常施工，则甲方有权终止与其签订的施工合同，并追究对甲方所造成的经济损失。</w:t>
            </w:r>
          </w:p>
        </w:tc>
      </w:tr>
    </w:tbl>
    <w:p>
      <w:pPr>
        <w:rPr>
          <w:rFonts w:ascii="宋体" w:hAnsi="宋体" w:cs="宋体"/>
          <w:color w:val="000000"/>
        </w:rPr>
      </w:pPr>
      <w:bookmarkStart w:id="73" w:name="EBc441b5015e2b49e19353019f1a1506ab"/>
      <w:r>
        <w:rPr>
          <w:rFonts w:hint="eastAsia" w:ascii="宋体" w:hAnsi="宋体" w:eastAsia="宋体" w:cs="宋体"/>
          <w:color w:val="000000"/>
          <w:sz w:val="20"/>
        </w:rPr>
        <w:t xml:space="preserve"> </w:t>
      </w:r>
      <w:bookmarkEnd w:id="73"/>
    </w:p>
    <w:p>
      <w:pPr>
        <w:pStyle w:val="331"/>
        <w:rPr>
          <w:rFonts w:hint="eastAsia" w:ascii="宋体" w:hAnsi="宋体" w:cs="宋体"/>
          <w:color w:val="000000"/>
        </w:rPr>
      </w:pPr>
    </w:p>
    <w:p>
      <w:pPr>
        <w:pStyle w:val="331"/>
        <w:rPr>
          <w:rFonts w:ascii="宋体" w:hAnsi="宋体" w:cs="宋体"/>
          <w:color w:val="000000"/>
        </w:rPr>
      </w:pPr>
      <w:r>
        <w:rPr>
          <w:rFonts w:hint="eastAsia" w:ascii="宋体" w:hAnsi="宋体" w:cs="宋体"/>
          <w:color w:val="000000"/>
        </w:rPr>
        <w:t>一.总则</w:t>
      </w:r>
    </w:p>
    <w:p>
      <w:pPr>
        <w:pStyle w:val="258"/>
        <w:rPr>
          <w:rFonts w:ascii="宋体" w:hAnsi="宋体" w:cs="宋体"/>
          <w:b w:val="0"/>
          <w:bCs w:val="0"/>
          <w:color w:val="000000"/>
          <w:szCs w:val="21"/>
        </w:rPr>
      </w:pPr>
      <w:bookmarkStart w:id="74" w:name="_Toc5685"/>
      <w:bookmarkStart w:id="75" w:name="_Toc19746"/>
      <w:bookmarkStart w:id="76" w:name="_Toc13288"/>
      <w:bookmarkStart w:id="77" w:name="_Toc234382590"/>
      <w:bookmarkStart w:id="78" w:name="_Toc9853"/>
      <w:r>
        <w:rPr>
          <w:rFonts w:hint="eastAsia" w:ascii="宋体" w:hAnsi="宋体" w:cs="宋体"/>
          <w:color w:val="000000"/>
        </w:rPr>
        <w:t>1项目概况</w:t>
      </w:r>
      <w:bookmarkEnd w:id="74"/>
      <w:bookmarkEnd w:id="75"/>
      <w:bookmarkEnd w:id="76"/>
      <w:bookmarkEnd w:id="77"/>
      <w:bookmarkEnd w:id="78"/>
    </w:p>
    <w:p>
      <w:pPr>
        <w:autoSpaceDE w:val="0"/>
        <w:autoSpaceDN w:val="0"/>
        <w:adjustRightInd w:val="0"/>
        <w:snapToGrid w:val="0"/>
        <w:spacing w:line="30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 xml:space="preserve"> 1.1根据《中华人民共和国招标投标法》等有关法律、法规和规章的规定要求，本招标项目已具备招标条件，现对本标段施工进行招标。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1.1.2本招标项目招标人：见投标人须知前附表。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1.1.3本招标项目代理机构：见投标人须知前附表。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1.1.4本招标项目名称：见投标人须知前附表。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1.1.5本招标项目建设地点：见投标人须知前附表。</w:t>
      </w:r>
    </w:p>
    <w:p>
      <w:pPr>
        <w:pStyle w:val="258"/>
        <w:rPr>
          <w:rFonts w:ascii="宋体" w:hAnsi="宋体" w:cs="宋体"/>
          <w:color w:val="000000"/>
        </w:rPr>
      </w:pPr>
      <w:bookmarkStart w:id="79" w:name="_Toc30248"/>
      <w:bookmarkStart w:id="80" w:name="_Toc15057"/>
      <w:bookmarkStart w:id="81" w:name="_Toc16868"/>
      <w:bookmarkStart w:id="82" w:name="_Toc17989"/>
      <w:bookmarkStart w:id="83" w:name="_Toc234382591"/>
      <w:r>
        <w:rPr>
          <w:rFonts w:hint="eastAsia" w:ascii="宋体" w:hAnsi="宋体" w:cs="宋体"/>
          <w:color w:val="000000"/>
        </w:rPr>
        <w:t>1.2 资金来源和落实情况</w:t>
      </w:r>
      <w:bookmarkEnd w:id="79"/>
      <w:bookmarkEnd w:id="80"/>
      <w:bookmarkEnd w:id="81"/>
      <w:bookmarkEnd w:id="82"/>
      <w:bookmarkEnd w:id="8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1.2.3 本招标项目的资金落实情况：见投标人须知前附表。</w:t>
      </w:r>
    </w:p>
    <w:p>
      <w:pPr>
        <w:pStyle w:val="258"/>
        <w:rPr>
          <w:rFonts w:ascii="宋体" w:hAnsi="宋体" w:cs="宋体"/>
          <w:color w:val="000000"/>
        </w:rPr>
      </w:pPr>
      <w:bookmarkStart w:id="84" w:name="_Toc23374"/>
      <w:bookmarkStart w:id="85" w:name="_Toc15430"/>
      <w:bookmarkStart w:id="86" w:name="_Toc19463"/>
      <w:bookmarkStart w:id="87" w:name="_Toc5734"/>
      <w:bookmarkStart w:id="88" w:name="_Toc234382592"/>
      <w:r>
        <w:rPr>
          <w:rFonts w:hint="eastAsia" w:ascii="宋体" w:hAnsi="宋体" w:cs="宋体"/>
          <w:color w:val="000000"/>
        </w:rPr>
        <w:t>1.3 招标范围、计划工期和质量要求</w:t>
      </w:r>
      <w:bookmarkEnd w:id="84"/>
      <w:bookmarkEnd w:id="85"/>
      <w:bookmarkEnd w:id="86"/>
      <w:bookmarkEnd w:id="87"/>
      <w:bookmarkEnd w:id="8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1.3.1 本次招标范围：见投标人须知前附表。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1.3.2 本标段的计划工期：见投标人须知前附表。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1.3.3 本标段的质量要求：见投标人须知前附表。</w:t>
      </w:r>
    </w:p>
    <w:p>
      <w:pPr>
        <w:pStyle w:val="258"/>
        <w:rPr>
          <w:rFonts w:ascii="宋体" w:hAnsi="宋体" w:cs="宋体"/>
          <w:color w:val="000000"/>
        </w:rPr>
      </w:pPr>
      <w:bookmarkStart w:id="89" w:name="_Toc31974"/>
      <w:bookmarkStart w:id="90" w:name="_Toc14837"/>
      <w:bookmarkStart w:id="91" w:name="_Toc234382594"/>
      <w:bookmarkStart w:id="92" w:name="_Toc9282"/>
      <w:bookmarkStart w:id="93" w:name="_Toc8093"/>
      <w:r>
        <w:rPr>
          <w:rFonts w:hint="eastAsia" w:ascii="宋体" w:hAnsi="宋体" w:cs="宋体"/>
          <w:color w:val="000000"/>
        </w:rPr>
        <w:t>1.4 投标人资格要求</w:t>
      </w:r>
      <w:bookmarkEnd w:id="89"/>
      <w:bookmarkEnd w:id="90"/>
      <w:bookmarkEnd w:id="91"/>
      <w:bookmarkEnd w:id="92"/>
      <w:bookmarkEnd w:id="9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1.4.1 投标人应具备承担本标段施工的资质条件、能力和信誉。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（1）资质条件：见投标人须知前附表；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（2）信誉要求：见投标人须知前附表;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（3）项目经理资格：见投标人须知前附表；</w:t>
      </w:r>
    </w:p>
    <w:p>
      <w:pPr>
        <w:widowControl/>
        <w:spacing w:line="300" w:lineRule="atLeast"/>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szCs w:val="21"/>
        </w:rPr>
        <w:t>（4）其他要求：见投标人须知前附表</w:t>
      </w:r>
      <w:r>
        <w:rPr>
          <w:rFonts w:hint="eastAsia" w:ascii="宋体" w:hAnsi="宋体" w:eastAsia="宋体" w:cs="宋体"/>
          <w:color w:val="000000"/>
          <w:kern w:val="0"/>
          <w:sz w:val="24"/>
          <w:szCs w:val="24"/>
        </w:rPr>
        <w:t>项目负责人要求：</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1.4.2投标人不得存在下列情形之一：</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（1）为招标人不具有独立法人资格的附属机构（单位）；</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rPr>
        <w:t>为本标段前期准备提供设计或咨询服务的，但设计施工总承包的除外</w:t>
      </w:r>
      <w:r>
        <w:rPr>
          <w:rFonts w:hint="eastAsia" w:ascii="宋体" w:hAnsi="宋体" w:eastAsia="宋体" w:cs="宋体"/>
          <w:color w:val="000000"/>
          <w:szCs w:val="21"/>
        </w:rPr>
        <w:t>；</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（3）为本标段的监理人；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（4）为本标段的代建人；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（5）为本标段提供招标代理服务的；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（6）与本标段的监理人或代建人或招标代理机构同为一个法定代表人的；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（7）与本标段的监理人或代建人或招标代理机构相互控股或参股的；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（8）与本标段的监理人或代建人或招标代理机构相互任职或工作的；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（9）单位负责人为同一人或者存在控股、管理关系的不同单位的；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（10）被责令停业的；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（11）被暂停或取消投标资格的；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（12）财产被接管或冻结的；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（13）在最近三年内有骗取中标或严重违约或重大工程质量问题的。</w:t>
      </w:r>
    </w:p>
    <w:p>
      <w:pPr>
        <w:pStyle w:val="258"/>
        <w:rPr>
          <w:rFonts w:ascii="宋体" w:hAnsi="宋体" w:cs="宋体"/>
          <w:color w:val="000000"/>
        </w:rPr>
      </w:pPr>
      <w:bookmarkStart w:id="94" w:name="_Toc20819"/>
      <w:bookmarkStart w:id="95" w:name="_Toc6629"/>
      <w:bookmarkStart w:id="96" w:name="_Toc234382595"/>
      <w:bookmarkStart w:id="97" w:name="_Toc11177"/>
      <w:bookmarkStart w:id="98" w:name="_Toc2814"/>
      <w:r>
        <w:rPr>
          <w:rFonts w:hint="eastAsia" w:ascii="宋体" w:hAnsi="宋体" w:cs="宋体"/>
          <w:color w:val="000000"/>
        </w:rPr>
        <w:t>1.5 费用承担</w:t>
      </w:r>
      <w:bookmarkEnd w:id="94"/>
      <w:bookmarkEnd w:id="95"/>
      <w:bookmarkEnd w:id="96"/>
      <w:bookmarkEnd w:id="97"/>
      <w:bookmarkEnd w:id="9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1.5.1投标人准备和参加投标活动发生的费用自理。</w:t>
      </w:r>
    </w:p>
    <w:p>
      <w:pPr>
        <w:pStyle w:val="258"/>
        <w:rPr>
          <w:rFonts w:ascii="宋体" w:hAnsi="宋体" w:cs="宋体"/>
          <w:color w:val="000000"/>
        </w:rPr>
      </w:pPr>
      <w:bookmarkStart w:id="99" w:name="_Toc19219"/>
      <w:bookmarkStart w:id="100" w:name="_Toc8010"/>
      <w:bookmarkStart w:id="101" w:name="_Toc19847"/>
      <w:bookmarkStart w:id="102" w:name="_Toc234382596"/>
      <w:bookmarkStart w:id="103" w:name="_Toc7584"/>
      <w:r>
        <w:rPr>
          <w:rFonts w:hint="eastAsia" w:ascii="宋体" w:hAnsi="宋体" w:cs="宋体"/>
          <w:color w:val="000000"/>
        </w:rPr>
        <w:t>1.6 保密</w:t>
      </w:r>
      <w:bookmarkEnd w:id="99"/>
      <w:bookmarkEnd w:id="100"/>
      <w:bookmarkEnd w:id="101"/>
      <w:bookmarkEnd w:id="102"/>
      <w:bookmarkEnd w:id="10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参与招标投标活动的各方应对招标文件和投标文件中的商业和技术等秘密保密，违者应对由此造成的后果承担法律责任。</w:t>
      </w:r>
    </w:p>
    <w:p>
      <w:pPr>
        <w:pStyle w:val="258"/>
        <w:rPr>
          <w:rFonts w:ascii="宋体" w:hAnsi="宋体" w:cs="宋体"/>
          <w:color w:val="000000"/>
        </w:rPr>
      </w:pPr>
      <w:bookmarkStart w:id="104" w:name="_Toc31991"/>
      <w:bookmarkStart w:id="105" w:name="_Toc17814"/>
      <w:bookmarkStart w:id="106" w:name="_Toc24174"/>
      <w:bookmarkStart w:id="107" w:name="_Toc12891"/>
      <w:bookmarkStart w:id="108" w:name="_Toc234382597"/>
      <w:r>
        <w:rPr>
          <w:rFonts w:hint="eastAsia" w:ascii="宋体" w:hAnsi="宋体" w:cs="宋体"/>
          <w:color w:val="000000"/>
        </w:rPr>
        <w:t>1.7 语言文字</w:t>
      </w:r>
      <w:bookmarkEnd w:id="104"/>
      <w:bookmarkEnd w:id="105"/>
      <w:bookmarkEnd w:id="106"/>
      <w:bookmarkEnd w:id="107"/>
      <w:bookmarkEnd w:id="10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除专用术语外，与招标投标有关的语言均使用中文。必要时专用术语应附有中文注释。</w:t>
      </w:r>
    </w:p>
    <w:p>
      <w:pPr>
        <w:pStyle w:val="258"/>
        <w:rPr>
          <w:rFonts w:ascii="宋体" w:hAnsi="宋体" w:cs="宋体"/>
          <w:color w:val="000000"/>
        </w:rPr>
      </w:pPr>
      <w:bookmarkStart w:id="109" w:name="_Toc3161"/>
      <w:bookmarkStart w:id="110" w:name="_Toc234382598"/>
      <w:bookmarkStart w:id="111" w:name="_Toc11268"/>
      <w:bookmarkStart w:id="112" w:name="_Toc28015"/>
      <w:bookmarkStart w:id="113" w:name="_Toc11731"/>
      <w:r>
        <w:rPr>
          <w:rFonts w:hint="eastAsia" w:ascii="宋体" w:hAnsi="宋体" w:cs="宋体"/>
          <w:color w:val="000000"/>
        </w:rPr>
        <w:t>1.8 计量单位</w:t>
      </w:r>
      <w:bookmarkEnd w:id="109"/>
      <w:bookmarkEnd w:id="110"/>
      <w:bookmarkEnd w:id="111"/>
      <w:bookmarkEnd w:id="112"/>
      <w:bookmarkEnd w:id="11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所有计量均采用中华人民共和国法定计量单位。</w:t>
      </w:r>
    </w:p>
    <w:p>
      <w:pPr>
        <w:pStyle w:val="258"/>
        <w:rPr>
          <w:rFonts w:ascii="宋体" w:hAnsi="宋体" w:cs="宋体"/>
          <w:color w:val="000000"/>
        </w:rPr>
      </w:pPr>
      <w:bookmarkStart w:id="114" w:name="_Toc9559"/>
      <w:bookmarkStart w:id="115" w:name="_Toc234382601"/>
      <w:bookmarkStart w:id="116" w:name="_Toc27518"/>
      <w:bookmarkStart w:id="117" w:name="_Toc16235"/>
      <w:bookmarkStart w:id="118" w:name="_Toc6728"/>
      <w:r>
        <w:rPr>
          <w:rFonts w:hint="eastAsia" w:ascii="宋体" w:hAnsi="宋体" w:cs="宋体"/>
          <w:color w:val="000000"/>
        </w:rPr>
        <w:t>1.9分包</w:t>
      </w:r>
      <w:bookmarkEnd w:id="114"/>
      <w:bookmarkEnd w:id="115"/>
      <w:bookmarkEnd w:id="116"/>
      <w:bookmarkEnd w:id="117"/>
      <w:bookmarkEnd w:id="11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本项目严禁转包和违规分包，且不得再次分包。</w:t>
      </w:r>
    </w:p>
    <w:p>
      <w:pPr>
        <w:rPr>
          <w:rFonts w:ascii="宋体" w:hAnsi="宋体" w:eastAsia="宋体" w:cs="宋体"/>
          <w:color w:val="000000"/>
        </w:rPr>
      </w:pPr>
    </w:p>
    <w:p>
      <w:pPr>
        <w:rPr>
          <w:rFonts w:ascii="宋体" w:hAnsi="宋体" w:eastAsia="宋体" w:cs="宋体"/>
          <w:color w:val="000000"/>
        </w:rPr>
      </w:pPr>
      <w:bookmarkStart w:id="119" w:name="EB0b92e6035cb9470693a6715b5d4888ed"/>
      <w:r>
        <w:rPr>
          <w:rFonts w:hint="eastAsia" w:ascii="宋体" w:hAnsi="宋体" w:eastAsia="宋体" w:cs="宋体"/>
          <w:color w:val="000000"/>
          <w:sz w:val="20"/>
        </w:rPr>
        <w:t xml:space="preserve"> </w:t>
      </w:r>
      <w:bookmarkEnd w:id="119"/>
      <w:bookmarkStart w:id="120" w:name="EB0e3834cd1b8344c4bae6720d9b3e5636"/>
      <w:r>
        <w:rPr>
          <w:rFonts w:hint="eastAsia" w:ascii="宋体" w:hAnsi="宋体" w:eastAsia="宋体" w:cs="宋体"/>
          <w:color w:val="000000"/>
          <w:sz w:val="20"/>
        </w:rPr>
        <w:t xml:space="preserve"> </w:t>
      </w:r>
      <w:bookmarkEnd w:id="120"/>
    </w:p>
    <w:p>
      <w:pPr>
        <w:pStyle w:val="331"/>
        <w:rPr>
          <w:rFonts w:ascii="宋体" w:hAnsi="宋体" w:cs="宋体"/>
          <w:color w:val="000000"/>
        </w:rPr>
      </w:pPr>
      <w:bookmarkStart w:id="121" w:name="_Toc31544"/>
      <w:bookmarkStart w:id="122" w:name="_Toc234382603"/>
      <w:bookmarkStart w:id="123" w:name="_Toc27925"/>
      <w:bookmarkStart w:id="124" w:name="_Toc23034"/>
      <w:bookmarkStart w:id="125" w:name="_Toc21454"/>
      <w:r>
        <w:rPr>
          <w:rFonts w:hint="eastAsia" w:ascii="宋体" w:hAnsi="宋体" w:cs="宋体"/>
          <w:color w:val="000000"/>
        </w:rPr>
        <w:t>2. 招标文件</w:t>
      </w:r>
      <w:bookmarkEnd w:id="121"/>
      <w:bookmarkEnd w:id="122"/>
      <w:bookmarkEnd w:id="123"/>
      <w:bookmarkEnd w:id="124"/>
      <w:bookmarkEnd w:id="125"/>
    </w:p>
    <w:p>
      <w:pPr>
        <w:pStyle w:val="258"/>
        <w:rPr>
          <w:rFonts w:ascii="宋体" w:hAnsi="宋体" w:cs="宋体"/>
          <w:color w:val="000000"/>
        </w:rPr>
      </w:pPr>
      <w:bookmarkStart w:id="126" w:name="_Toc8542"/>
      <w:bookmarkStart w:id="127" w:name="_Toc234382604"/>
      <w:bookmarkStart w:id="128" w:name="_Toc31696"/>
      <w:bookmarkStart w:id="129" w:name="_Toc1196"/>
      <w:bookmarkStart w:id="130" w:name="_Toc7851"/>
      <w:r>
        <w:rPr>
          <w:rFonts w:hint="eastAsia" w:ascii="宋体" w:hAnsi="宋体" w:cs="宋体"/>
          <w:color w:val="000000"/>
        </w:rPr>
        <w:t>2.1 招标文件的组成</w:t>
      </w:r>
      <w:bookmarkEnd w:id="126"/>
      <w:bookmarkEnd w:id="127"/>
      <w:bookmarkEnd w:id="128"/>
      <w:bookmarkEnd w:id="129"/>
      <w:bookmarkEnd w:id="130"/>
    </w:p>
    <w:p>
      <w:pPr>
        <w:spacing w:line="400" w:lineRule="exact"/>
        <w:rPr>
          <w:rFonts w:ascii="宋体" w:hAnsi="宋体" w:eastAsia="宋体" w:cs="宋体"/>
          <w:color w:val="000000"/>
          <w:szCs w:val="21"/>
        </w:rPr>
      </w:pPr>
      <w:r>
        <w:rPr>
          <w:rFonts w:hint="eastAsia" w:ascii="宋体" w:hAnsi="宋体" w:eastAsia="宋体" w:cs="宋体"/>
          <w:color w:val="000000"/>
          <w:szCs w:val="21"/>
        </w:rPr>
        <w:t>本招标文件包括：</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（1）投标邀请书；</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（2）投标人须知；</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（3）评标办法；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（4）合同条款及格式；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（5）工程量清单；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（6）技术规范；</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（7）投标文件格式；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（8）投标人须知前附表规定的其他材料。</w:t>
      </w:r>
    </w:p>
    <w:p>
      <w:pPr>
        <w:spacing w:line="400" w:lineRule="exact"/>
        <w:ind w:firstLine="420" w:firstLineChars="200"/>
        <w:rPr>
          <w:rFonts w:ascii="宋体" w:hAnsi="宋体" w:eastAsia="宋体" w:cs="宋体"/>
          <w:color w:val="000000"/>
          <w:szCs w:val="21"/>
        </w:rPr>
      </w:pPr>
      <w:bookmarkStart w:id="131" w:name="_Toc234382605"/>
      <w:bookmarkStart w:id="132" w:name="_Toc15212"/>
      <w:bookmarkStart w:id="133" w:name="_Toc32285"/>
      <w:bookmarkStart w:id="134" w:name="_Toc20201"/>
      <w:r>
        <w:rPr>
          <w:rFonts w:hint="eastAsia" w:ascii="宋体" w:hAnsi="宋体" w:eastAsia="宋体" w:cs="宋体"/>
          <w:color w:val="000000"/>
          <w:szCs w:val="21"/>
        </w:rPr>
        <w:t>根据本章第2.2款和第2.3款对招标文件所作的澄清、修改，构成招标文件的组成部分。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rPr>
        <w:t>投标人在投标截止时间前，应通过报名登记时所留邮箱随时查询。查询如有遗漏，其风险应由投标人自行承担。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当招标文件、招标文件的澄清或修改等在同一内容的表述上不一致时，以最后发出的书面文件为准。</w:t>
      </w:r>
    </w:p>
    <w:p>
      <w:pPr>
        <w:pStyle w:val="258"/>
        <w:rPr>
          <w:rFonts w:ascii="宋体" w:hAnsi="宋体" w:cs="宋体"/>
          <w:color w:val="000000"/>
        </w:rPr>
      </w:pPr>
      <w:bookmarkStart w:id="135" w:name="_Toc17760"/>
      <w:r>
        <w:rPr>
          <w:rFonts w:hint="eastAsia" w:ascii="宋体" w:hAnsi="宋体" w:cs="宋体"/>
          <w:color w:val="000000"/>
        </w:rPr>
        <w:t>2.2 招标文件的澄清</w:t>
      </w:r>
      <w:bookmarkEnd w:id="131"/>
      <w:bookmarkEnd w:id="132"/>
      <w:bookmarkEnd w:id="133"/>
      <w:bookmarkEnd w:id="134"/>
      <w:bookmarkEnd w:id="135"/>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2.2.1 </w:t>
      </w:r>
      <w:r>
        <w:rPr>
          <w:rFonts w:hint="eastAsia" w:ascii="宋体" w:hAnsi="宋体" w:eastAsia="宋体" w:cs="宋体"/>
          <w:color w:val="000000"/>
        </w:rPr>
        <w:t>投标人收到招标文件后，</w:t>
      </w:r>
      <w:r>
        <w:rPr>
          <w:rFonts w:hint="eastAsia" w:ascii="宋体" w:hAnsi="宋体" w:eastAsia="宋体" w:cs="宋体"/>
          <w:color w:val="000000"/>
          <w:szCs w:val="21"/>
        </w:rPr>
        <w:t>应仔细阅读和检查招标文件的全部内容。如发现缺页或附件不全或对招标文件有疑问的，应在投标截止时间前3天通过邮箱以不署名的形式提出，要求招标人对招标文件予以澄清。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2.2.2招标文件的澄清在投标人须知前附表规定的投标截止时间2天前发布，但不指明澄清问题的来源。如果澄清发出的澄清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2.2.3投标人应及时通过邮箱获取澄清后的招标文件，未按澄清后的招标文件编制的投标文件有可能被招投标小组否决。</w:t>
      </w:r>
    </w:p>
    <w:p>
      <w:pPr>
        <w:pStyle w:val="258"/>
        <w:rPr>
          <w:rFonts w:ascii="宋体" w:hAnsi="宋体" w:cs="宋体"/>
          <w:color w:val="000000"/>
        </w:rPr>
      </w:pPr>
      <w:bookmarkStart w:id="136" w:name="_Toc27380"/>
      <w:bookmarkStart w:id="137" w:name="_Toc30352"/>
      <w:bookmarkStart w:id="138" w:name="_Toc3425"/>
      <w:bookmarkStart w:id="139" w:name="_Toc234382606"/>
      <w:bookmarkStart w:id="140" w:name="_Toc2995"/>
      <w:r>
        <w:rPr>
          <w:rFonts w:hint="eastAsia" w:ascii="宋体" w:hAnsi="宋体" w:cs="宋体"/>
          <w:color w:val="000000"/>
        </w:rPr>
        <w:t>2.3 招标文件的修改</w:t>
      </w:r>
      <w:bookmarkEnd w:id="136"/>
      <w:bookmarkEnd w:id="137"/>
      <w:bookmarkEnd w:id="138"/>
      <w:bookmarkEnd w:id="139"/>
      <w:bookmarkEnd w:id="140"/>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2.3.1 在投标截止时间前，招标人可以修改招标文件。但如果修改招标文件内容影响投标文件编制且不能满足投标人编制投标文件时间，招标人将视情况可能适当延长投标截止时间。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2.3.2投标人应及时获取修改后的招标文件，未按修改后的招标文件编制的投标文件有可能被招投标小组否决。</w:t>
      </w:r>
    </w:p>
    <w:p>
      <w:pPr>
        <w:pStyle w:val="258"/>
        <w:rPr>
          <w:rFonts w:ascii="宋体" w:hAnsi="宋体" w:cs="宋体"/>
          <w:color w:val="000000"/>
        </w:rPr>
      </w:pPr>
      <w:bookmarkStart w:id="141" w:name="_Toc8018"/>
      <w:bookmarkStart w:id="142" w:name="_Toc11276"/>
      <w:bookmarkStart w:id="143" w:name="_Toc13247"/>
      <w:r>
        <w:rPr>
          <w:rFonts w:hint="eastAsia" w:ascii="宋体" w:hAnsi="宋体" w:cs="宋体"/>
          <w:color w:val="000000"/>
        </w:rPr>
        <w:t>2.4 招标文件的异议</w:t>
      </w:r>
      <w:bookmarkEnd w:id="141"/>
      <w:bookmarkEnd w:id="142"/>
      <w:bookmarkEnd w:id="14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2.4.1对招标文件有异议的，应当在投标截止时间3日前提出。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2.4.2招标人应当自收到异议之日起3 日内作出答复；作出答复前，应当暂停招标投标活动。</w:t>
      </w:r>
    </w:p>
    <w:p>
      <w:pPr>
        <w:rPr>
          <w:rFonts w:ascii="宋体" w:hAnsi="宋体" w:eastAsia="宋体" w:cs="宋体"/>
          <w:color w:val="000000"/>
        </w:rPr>
      </w:pPr>
    </w:p>
    <w:p>
      <w:pPr>
        <w:rPr>
          <w:rFonts w:ascii="宋体" w:hAnsi="宋体" w:eastAsia="宋体" w:cs="宋体"/>
          <w:color w:val="000000"/>
        </w:rPr>
      </w:pPr>
      <w:bookmarkStart w:id="144" w:name="EB17774351d49b4b5aa0c7e01dc0595972"/>
      <w:r>
        <w:rPr>
          <w:rFonts w:hint="eastAsia" w:ascii="宋体" w:hAnsi="宋体" w:eastAsia="宋体" w:cs="宋体"/>
          <w:color w:val="000000"/>
          <w:sz w:val="20"/>
        </w:rPr>
        <w:t xml:space="preserve"> </w:t>
      </w:r>
      <w:bookmarkEnd w:id="144"/>
      <w:bookmarkStart w:id="145" w:name="EB324ee33b61d24f33aaf134ce9da5a513"/>
      <w:r>
        <w:rPr>
          <w:rFonts w:hint="eastAsia" w:ascii="宋体" w:hAnsi="宋体" w:eastAsia="宋体" w:cs="宋体"/>
          <w:color w:val="000000"/>
          <w:sz w:val="20"/>
        </w:rPr>
        <w:t xml:space="preserve"> </w:t>
      </w:r>
      <w:bookmarkEnd w:id="145"/>
    </w:p>
    <w:p>
      <w:pPr>
        <w:pStyle w:val="331"/>
        <w:rPr>
          <w:rFonts w:ascii="宋体" w:hAnsi="宋体" w:cs="宋体"/>
          <w:color w:val="000000"/>
        </w:rPr>
      </w:pPr>
      <w:bookmarkStart w:id="146" w:name="_Toc1955"/>
      <w:bookmarkStart w:id="147" w:name="_Toc234382607"/>
      <w:bookmarkStart w:id="148" w:name="_Toc21604"/>
      <w:bookmarkStart w:id="149" w:name="_Toc4259"/>
      <w:bookmarkStart w:id="150" w:name="_Toc1961"/>
      <w:r>
        <w:rPr>
          <w:rFonts w:hint="eastAsia" w:ascii="宋体" w:hAnsi="宋体" w:cs="宋体"/>
          <w:color w:val="000000"/>
        </w:rPr>
        <w:t>3. 投标文件</w:t>
      </w:r>
      <w:bookmarkEnd w:id="146"/>
      <w:bookmarkEnd w:id="147"/>
      <w:bookmarkEnd w:id="148"/>
      <w:bookmarkEnd w:id="149"/>
      <w:bookmarkEnd w:id="150"/>
    </w:p>
    <w:p>
      <w:pPr>
        <w:pStyle w:val="258"/>
        <w:rPr>
          <w:rFonts w:ascii="宋体" w:hAnsi="宋体" w:cs="宋体"/>
          <w:color w:val="000000"/>
        </w:rPr>
      </w:pPr>
      <w:bookmarkStart w:id="151" w:name="_Toc15817"/>
      <w:bookmarkStart w:id="152" w:name="_Toc15148"/>
      <w:bookmarkStart w:id="153" w:name="_Toc234382608"/>
      <w:bookmarkStart w:id="154" w:name="_Toc3214"/>
      <w:bookmarkStart w:id="155" w:name="_Toc22970"/>
      <w:r>
        <w:rPr>
          <w:rFonts w:hint="eastAsia" w:ascii="宋体" w:hAnsi="宋体" w:cs="宋体"/>
          <w:color w:val="000000"/>
        </w:rPr>
        <w:t>3.1 投标文件的组成</w:t>
      </w:r>
      <w:bookmarkEnd w:id="151"/>
      <w:bookmarkEnd w:id="152"/>
      <w:bookmarkEnd w:id="153"/>
      <w:bookmarkEnd w:id="154"/>
      <w:bookmarkEnd w:id="155"/>
    </w:p>
    <w:p>
      <w:pPr>
        <w:spacing w:line="400" w:lineRule="exact"/>
        <w:ind w:firstLine="420"/>
        <w:rPr>
          <w:rFonts w:ascii="宋体" w:hAnsi="宋体" w:eastAsia="宋体" w:cs="宋体"/>
        </w:rPr>
      </w:pPr>
      <w:bookmarkStart w:id="156" w:name="_Toc275703353"/>
      <w:bookmarkStart w:id="157" w:name="_Toc12293"/>
      <w:bookmarkStart w:id="158" w:name="_Toc24155"/>
      <w:bookmarkStart w:id="159" w:name="_Toc7877"/>
      <w:bookmarkStart w:id="160" w:name="_Toc234382609"/>
      <w:bookmarkStart w:id="161" w:name="_Toc7823"/>
      <w:r>
        <w:rPr>
          <w:rFonts w:hint="eastAsia" w:ascii="宋体" w:hAnsi="宋体" w:eastAsia="宋体" w:cs="宋体"/>
        </w:rPr>
        <w:t>3.1.1</w:t>
      </w:r>
      <w:bookmarkEnd w:id="156"/>
      <w:r>
        <w:rPr>
          <w:rFonts w:hint="eastAsia" w:ascii="宋体" w:hAnsi="宋体" w:eastAsia="宋体" w:cs="宋体"/>
        </w:rPr>
        <w:t>投 标 函；</w:t>
      </w:r>
    </w:p>
    <w:p>
      <w:pPr>
        <w:spacing w:line="400" w:lineRule="exact"/>
        <w:ind w:firstLine="308" w:firstLineChars="147"/>
        <w:rPr>
          <w:rFonts w:ascii="宋体" w:hAnsi="宋体" w:eastAsia="宋体" w:cs="宋体"/>
        </w:rPr>
      </w:pPr>
      <w:r>
        <w:rPr>
          <w:rFonts w:hint="eastAsia" w:ascii="宋体" w:hAnsi="宋体" w:eastAsia="宋体" w:cs="宋体"/>
        </w:rPr>
        <w:t xml:space="preserve"> 3.1.2法定代表人身份证明或附有法定代表人及委托人身份证明的授权委托书（除盖章、签字，其余内容均需电脑打印）； </w:t>
      </w:r>
    </w:p>
    <w:p>
      <w:pPr>
        <w:spacing w:line="400" w:lineRule="exact"/>
        <w:ind w:firstLine="420"/>
        <w:rPr>
          <w:rFonts w:ascii="宋体" w:hAnsi="宋体" w:eastAsia="宋体" w:cs="宋体"/>
        </w:rPr>
      </w:pPr>
      <w:r>
        <w:rPr>
          <w:rFonts w:hint="eastAsia" w:ascii="宋体" w:hAnsi="宋体" w:eastAsia="宋体" w:cs="宋体"/>
        </w:rPr>
        <w:t>3.1.3项目负责人提供在投标单位近3个月社保证明，项目负责人具有本单位注册的资格证书；</w:t>
      </w:r>
    </w:p>
    <w:p>
      <w:pPr>
        <w:spacing w:line="400" w:lineRule="exact"/>
        <w:ind w:firstLine="420"/>
        <w:rPr>
          <w:rFonts w:ascii="宋体" w:hAnsi="宋体" w:eastAsia="宋体" w:cs="宋体"/>
        </w:rPr>
      </w:pPr>
      <w:r>
        <w:rPr>
          <w:rFonts w:hint="eastAsia" w:ascii="宋体" w:hAnsi="宋体" w:eastAsia="宋体" w:cs="宋体"/>
        </w:rPr>
        <w:t>3.1.4企业法人营业执照；</w:t>
      </w:r>
    </w:p>
    <w:p>
      <w:pPr>
        <w:spacing w:line="400" w:lineRule="exact"/>
        <w:ind w:firstLine="420"/>
        <w:rPr>
          <w:rFonts w:ascii="宋体" w:hAnsi="宋体" w:eastAsia="宋体" w:cs="宋体"/>
        </w:rPr>
      </w:pPr>
      <w:r>
        <w:rPr>
          <w:rFonts w:hint="eastAsia" w:ascii="宋体" w:hAnsi="宋体" w:eastAsia="宋体" w:cs="宋体"/>
        </w:rPr>
        <w:t>3.1.5企业资质证书；</w:t>
      </w:r>
    </w:p>
    <w:p>
      <w:pPr>
        <w:spacing w:line="400" w:lineRule="exact"/>
        <w:ind w:firstLine="420"/>
        <w:rPr>
          <w:rFonts w:ascii="宋体" w:hAnsi="宋体" w:eastAsia="宋体" w:cs="宋体"/>
        </w:rPr>
      </w:pPr>
      <w:r>
        <w:rPr>
          <w:rFonts w:hint="eastAsia" w:ascii="宋体" w:hAnsi="宋体" w:eastAsia="宋体" w:cs="宋体"/>
        </w:rPr>
        <w:t>3.1.6安全生产许可证；</w:t>
      </w:r>
    </w:p>
    <w:p>
      <w:pPr>
        <w:spacing w:line="400" w:lineRule="exact"/>
        <w:ind w:firstLine="420"/>
        <w:rPr>
          <w:rFonts w:ascii="宋体" w:hAnsi="宋体" w:eastAsia="宋体" w:cs="宋体"/>
        </w:rPr>
      </w:pPr>
      <w:r>
        <w:rPr>
          <w:rFonts w:hint="eastAsia" w:ascii="宋体" w:hAnsi="宋体" w:eastAsia="宋体" w:cs="宋体"/>
        </w:rPr>
        <w:t>3.1.7 开户许可证明；</w:t>
      </w:r>
    </w:p>
    <w:p>
      <w:pPr>
        <w:spacing w:line="400" w:lineRule="exact"/>
        <w:ind w:firstLine="420"/>
        <w:rPr>
          <w:rFonts w:ascii="宋体" w:hAnsi="宋体" w:eastAsia="宋体" w:cs="宋体"/>
        </w:rPr>
      </w:pPr>
      <w:r>
        <w:rPr>
          <w:rFonts w:hint="eastAsia" w:ascii="宋体" w:hAnsi="宋体" w:eastAsia="宋体" w:cs="宋体"/>
        </w:rPr>
        <w:t>3.1.</w:t>
      </w:r>
      <w:r>
        <w:rPr>
          <w:rFonts w:ascii="宋体" w:hAnsi="宋体" w:eastAsia="宋体" w:cs="宋体"/>
        </w:rPr>
        <w:t>8</w:t>
      </w:r>
      <w:r>
        <w:rPr>
          <w:rFonts w:hint="eastAsia" w:ascii="宋体" w:hAnsi="宋体" w:eastAsia="宋体" w:cs="宋体"/>
        </w:rPr>
        <w:t xml:space="preserve"> 已标价工程量清单</w:t>
      </w:r>
    </w:p>
    <w:p>
      <w:pPr>
        <w:pStyle w:val="66"/>
        <w:ind w:firstLine="420"/>
        <w:rPr>
          <w:rFonts w:ascii="宋体" w:hAnsi="宋体" w:eastAsia="宋体" w:cs="宋体"/>
          <w:lang w:val="en-US"/>
        </w:rPr>
      </w:pPr>
      <w:r>
        <w:rPr>
          <w:rFonts w:hint="eastAsia" w:ascii="宋体" w:hAnsi="宋体" w:eastAsia="宋体" w:cs="宋体"/>
          <w:lang w:val="en-US"/>
        </w:rPr>
        <w:t>3.1.</w:t>
      </w:r>
      <w:r>
        <w:rPr>
          <w:rFonts w:ascii="宋体" w:hAnsi="宋体" w:eastAsia="宋体" w:cs="宋体"/>
          <w:lang w:val="en-US"/>
        </w:rPr>
        <w:t>9</w:t>
      </w:r>
      <w:r>
        <w:rPr>
          <w:rFonts w:hint="eastAsia" w:ascii="宋体" w:hAnsi="宋体" w:eastAsia="宋体" w:cs="宋体"/>
          <w:lang w:val="en-US"/>
        </w:rPr>
        <w:t>开标一览表（单独密封）</w:t>
      </w:r>
    </w:p>
    <w:p>
      <w:pPr>
        <w:pStyle w:val="66"/>
        <w:ind w:firstLine="420"/>
        <w:rPr>
          <w:rFonts w:eastAsia="宋体"/>
          <w:lang w:val="en-US"/>
        </w:rPr>
      </w:pPr>
      <w:r>
        <w:rPr>
          <w:rFonts w:hint="eastAsia" w:ascii="宋体" w:hAnsi="宋体" w:eastAsia="宋体" w:cs="宋体"/>
          <w:lang w:val="en-US"/>
        </w:rPr>
        <w:t>3.1.</w:t>
      </w:r>
      <w:r>
        <w:rPr>
          <w:rFonts w:ascii="宋体" w:hAnsi="宋体" w:eastAsia="宋体" w:cs="宋体"/>
          <w:lang w:val="en-US"/>
        </w:rPr>
        <w:t>10</w:t>
      </w:r>
      <w:r>
        <w:rPr>
          <w:rFonts w:hint="eastAsia" w:ascii="宋体" w:hAnsi="宋体" w:eastAsia="宋体" w:cs="宋体"/>
          <w:lang w:val="en-US"/>
        </w:rPr>
        <w:t>技术部分</w:t>
      </w:r>
    </w:p>
    <w:p>
      <w:pPr>
        <w:spacing w:line="400" w:lineRule="exact"/>
        <w:ind w:firstLine="420"/>
        <w:rPr>
          <w:rFonts w:ascii="宋体" w:hAnsi="宋体" w:eastAsia="宋体" w:cs="宋体"/>
        </w:rPr>
      </w:pPr>
      <w:r>
        <w:rPr>
          <w:rFonts w:hint="eastAsia" w:ascii="宋体" w:hAnsi="宋体" w:eastAsia="宋体" w:cs="宋体"/>
        </w:rPr>
        <w:t>以上资料一正贰副，一式三份，3.1.1-3.1.11应加盖投标人公章 ，任意一条不满足招标文件要求均视为无效标书。</w:t>
      </w:r>
    </w:p>
    <w:p>
      <w:pPr>
        <w:spacing w:line="400" w:lineRule="exact"/>
        <w:ind w:firstLine="420"/>
        <w:rPr>
          <w:rFonts w:ascii="宋体" w:hAnsi="宋体" w:eastAsia="宋体" w:cs="宋体"/>
        </w:rPr>
      </w:pPr>
      <w:r>
        <w:rPr>
          <w:rFonts w:hint="eastAsia" w:ascii="宋体" w:hAnsi="宋体" w:eastAsia="宋体" w:cs="宋体"/>
        </w:rPr>
        <w:t>单独成册</w:t>
      </w:r>
    </w:p>
    <w:p>
      <w:pPr>
        <w:pStyle w:val="258"/>
        <w:rPr>
          <w:rFonts w:ascii="宋体" w:hAnsi="宋体" w:cs="宋体"/>
          <w:color w:val="000000"/>
        </w:rPr>
      </w:pPr>
      <w:r>
        <w:rPr>
          <w:rFonts w:hint="eastAsia" w:ascii="宋体" w:hAnsi="宋体" w:cs="宋体"/>
          <w:color w:val="000000"/>
        </w:rPr>
        <w:t>3.2 投标报价</w:t>
      </w:r>
      <w:bookmarkEnd w:id="157"/>
      <w:bookmarkEnd w:id="158"/>
      <w:bookmarkEnd w:id="159"/>
      <w:bookmarkEnd w:id="160"/>
      <w:bookmarkEnd w:id="161"/>
      <w:r>
        <w:rPr>
          <w:rFonts w:hint="eastAsia" w:ascii="宋体" w:hAnsi="宋体" w:cs="宋体"/>
          <w:color w:val="000000"/>
        </w:rPr>
        <w:t xml:space="preserve"> </w:t>
      </w:r>
    </w:p>
    <w:p>
      <w:pPr>
        <w:spacing w:line="400" w:lineRule="exact"/>
        <w:ind w:firstLine="420" w:firstLineChars="200"/>
        <w:rPr>
          <w:rFonts w:ascii="宋体" w:hAnsi="宋体" w:eastAsia="宋体" w:cs="宋体"/>
          <w:color w:val="000000"/>
          <w:szCs w:val="21"/>
        </w:rPr>
      </w:pPr>
      <w:bookmarkStart w:id="162" w:name="_Toc26761"/>
      <w:bookmarkStart w:id="163" w:name="_Toc12192"/>
      <w:bookmarkStart w:id="164" w:name="_Toc234382610"/>
      <w:bookmarkStart w:id="165" w:name="_Toc18781"/>
      <w:bookmarkStart w:id="166" w:name="_Toc15970"/>
      <w:r>
        <w:rPr>
          <w:rFonts w:hint="eastAsia" w:ascii="宋体" w:hAnsi="宋体" w:eastAsia="宋体" w:cs="宋体"/>
          <w:color w:val="000000"/>
          <w:szCs w:val="21"/>
        </w:rPr>
        <w:t>3.2.1 投标人应根据施工现场实际情况、甲方要求等有关要求，按照企业定额或参照建设行政主管部门发布的现行消耗量定额以及工程造价管理机构发布的市场价格信息，并结合企业自身实际情况，进行工程投标报价并不得高于招标人设定的最高限价（即投标最高限价）。投标最高限价详见投标须知前附表。</w:t>
      </w:r>
    </w:p>
    <w:p>
      <w:pPr>
        <w:pStyle w:val="258"/>
        <w:rPr>
          <w:rFonts w:ascii="宋体" w:hAnsi="宋体" w:cs="宋体"/>
        </w:rPr>
      </w:pPr>
      <w:r>
        <w:rPr>
          <w:rFonts w:hint="eastAsia" w:ascii="宋体" w:hAnsi="宋体" w:cs="宋体"/>
        </w:rPr>
        <w:t>3.3 投标有效期</w:t>
      </w:r>
      <w:bookmarkEnd w:id="162"/>
      <w:bookmarkEnd w:id="163"/>
      <w:bookmarkEnd w:id="164"/>
      <w:bookmarkEnd w:id="165"/>
      <w:bookmarkEnd w:id="166"/>
    </w:p>
    <w:p>
      <w:pPr>
        <w:spacing w:line="400" w:lineRule="exact"/>
        <w:ind w:firstLine="420" w:firstLineChars="200"/>
        <w:rPr>
          <w:rFonts w:ascii="宋体" w:hAnsi="宋体" w:eastAsia="宋体" w:cs="宋体"/>
          <w:color w:val="000000"/>
          <w:szCs w:val="21"/>
        </w:rPr>
      </w:pPr>
      <w:bookmarkStart w:id="167" w:name="_Toc275703379"/>
      <w:bookmarkStart w:id="168" w:name="_Toc11712"/>
      <w:bookmarkStart w:id="169" w:name="_Toc26617"/>
      <w:bookmarkStart w:id="170" w:name="_Toc8409"/>
      <w:bookmarkStart w:id="171" w:name="_Toc15402"/>
      <w:bookmarkStart w:id="172" w:name="_Toc234382611"/>
      <w:r>
        <w:rPr>
          <w:rFonts w:hint="eastAsia" w:ascii="宋体" w:hAnsi="宋体" w:eastAsia="宋体" w:cs="宋体"/>
          <w:color w:val="000000"/>
          <w:szCs w:val="21"/>
        </w:rPr>
        <w:t>3.3.1 在投标人须知前附表规定的投标有效期内，投标人不得要求撤销或修改其投标文件。</w:t>
      </w:r>
      <w:bookmarkEnd w:id="167"/>
    </w:p>
    <w:p>
      <w:pPr>
        <w:spacing w:line="400" w:lineRule="exact"/>
        <w:ind w:firstLine="420" w:firstLineChars="200"/>
        <w:rPr>
          <w:rFonts w:ascii="宋体" w:hAnsi="宋体" w:eastAsia="宋体" w:cs="宋体"/>
          <w:color w:val="000000"/>
          <w:szCs w:val="21"/>
        </w:rPr>
      </w:pPr>
      <w:bookmarkStart w:id="173" w:name="_Toc275703380"/>
      <w:r>
        <w:rPr>
          <w:rFonts w:hint="eastAsia" w:ascii="宋体" w:hAnsi="宋体" w:eastAsia="宋体" w:cs="宋体"/>
          <w:color w:val="00000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173"/>
    </w:p>
    <w:bookmarkEnd w:id="168"/>
    <w:bookmarkEnd w:id="169"/>
    <w:bookmarkEnd w:id="170"/>
    <w:bookmarkEnd w:id="171"/>
    <w:bookmarkEnd w:id="172"/>
    <w:p>
      <w:pPr>
        <w:spacing w:line="40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3.4  投标保证金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3.4.1 投标人在投标截止时间前，应按投标人须知前附表规定的金额、形式、内容递交投标保证金，并作为其投标文件的组成部分。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投标保证金必须由投标人基本账户一次性汇出。以个人、企业办事处、分公司、子公司名义或他人账户、投标人企业的其它账户交纳的投标保证金无效。</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3.4.2 投标人汇出投标保证金时，须将载明的“项目名称”填入汇款单中的“用途栏”，未填写或者填写错误的，甲方将无法确认投标保证金是否缴纳，投标文件将被作无效投标文件处理。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3.4.3 投标人在缴纳投标保证金时，应充分考虑银行汇款的时间误差风险。无论何种原因，投标人投标保证金在投标截止时间止未到达招标人指定账户的，投标文件将被作无效投标文件处理。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3.4.4 有下列情形之一的，投标保证金将不予退还：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（1）投标人在规定的投标有效期内撤销或修改其投标文件；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（2）中标人在收到中标通知书后，无正当理由拒签合同协议书或未按招标文件规定提交履约担保；</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（3）投标人不接受依据评标办法的规定对其投标文件中细微偏差进行澄清和补正；</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（4）未按招标文件规定提交中标差额保证金；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（5）投标人相互串通投标、弄虚作假或其他违法违规行为。</w:t>
      </w:r>
    </w:p>
    <w:p>
      <w:pPr>
        <w:pStyle w:val="258"/>
        <w:rPr>
          <w:rFonts w:ascii="宋体" w:hAnsi="宋体" w:cs="宋体"/>
          <w:color w:val="000000"/>
          <w:szCs w:val="21"/>
        </w:rPr>
      </w:pPr>
      <w:r>
        <w:rPr>
          <w:rFonts w:hint="eastAsia" w:ascii="宋体" w:hAnsi="宋体" w:cs="宋体"/>
          <w:color w:val="000000"/>
          <w:szCs w:val="21"/>
        </w:rPr>
        <w:t>3.5资格审查资料</w:t>
      </w:r>
    </w:p>
    <w:p>
      <w:pPr>
        <w:spacing w:line="400" w:lineRule="exact"/>
        <w:rPr>
          <w:rFonts w:ascii="宋体" w:hAnsi="宋体" w:eastAsia="宋体" w:cs="宋体"/>
          <w:color w:val="000000"/>
          <w:szCs w:val="21"/>
        </w:rPr>
      </w:pPr>
      <w:r>
        <w:rPr>
          <w:rFonts w:hint="eastAsia" w:ascii="宋体" w:hAnsi="宋体" w:eastAsia="宋体" w:cs="宋体"/>
          <w:color w:val="000000"/>
          <w:szCs w:val="21"/>
        </w:rPr>
        <w:t>3.5.1 资格审查资料详见评标办法前附表中资格评审标准；</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3.5.2招标人将进一步核查投标人在资格申请文件中提供的材料，若在评标期间发现投标人提供了虚假资料，招标人有权对投标人的投标文件作无效投标文件处理，并没收其投标保证金；若在评标结果公示期间发现作为中标候选人的投标人提供了虚假资料，招标人有权取消其中标资格并没收其投标保证金；若在合同实施期间发现投标人提供了投标人提供了虚假资料，招标人有权从工程支付款或履约保证金中扣除不超过合同总价10%的金额作为违约金。同时招标人将投标人上述弄虚作假行为上报招投标监督部门，作为不良记录纳入信用信息管理系统。 </w:t>
      </w:r>
    </w:p>
    <w:p>
      <w:pPr>
        <w:pStyle w:val="258"/>
        <w:rPr>
          <w:rFonts w:ascii="宋体" w:hAnsi="宋体" w:cs="宋体"/>
          <w:color w:val="000000"/>
          <w:szCs w:val="21"/>
        </w:rPr>
      </w:pPr>
      <w:bookmarkStart w:id="174" w:name="_Toc234382615"/>
      <w:bookmarkStart w:id="175" w:name="_Toc25533"/>
      <w:bookmarkStart w:id="176" w:name="_Toc28227"/>
      <w:bookmarkStart w:id="177" w:name="_Toc27814"/>
      <w:bookmarkStart w:id="178" w:name="_Toc21145"/>
      <w:r>
        <w:rPr>
          <w:rFonts w:hint="eastAsia" w:ascii="宋体" w:hAnsi="宋体" w:cs="宋体"/>
          <w:color w:val="000000"/>
          <w:szCs w:val="21"/>
        </w:rPr>
        <w:t>3.6投标文件的编制</w:t>
      </w:r>
      <w:bookmarkEnd w:id="174"/>
      <w:bookmarkEnd w:id="175"/>
      <w:bookmarkEnd w:id="176"/>
      <w:bookmarkEnd w:id="177"/>
      <w:bookmarkEnd w:id="17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3.6.1 投标文件应按投标文件的组成要求进行编制。要求提供材料原件的，投标人投标时要求提供原件而未提供原件或评标时评委发现未按本招标文件规定提供的原件缺项、不齐全的或无效的为无效投标文</w:t>
      </w:r>
      <w:r>
        <w:rPr>
          <w:rFonts w:hint="eastAsia" w:ascii="宋体" w:hAnsi="宋体"/>
          <w:szCs w:val="21"/>
        </w:rPr>
        <w:t>件。</w:t>
      </w:r>
    </w:p>
    <w:p>
      <w:pPr>
        <w:pStyle w:val="331"/>
        <w:rPr>
          <w:rFonts w:ascii="宋体" w:hAnsi="宋体" w:cs="宋体"/>
          <w:color w:val="000000"/>
        </w:rPr>
      </w:pPr>
      <w:bookmarkStart w:id="179" w:name="_Toc20865"/>
      <w:bookmarkStart w:id="180" w:name="_Toc29001"/>
      <w:bookmarkStart w:id="181" w:name="_Toc234382616"/>
      <w:bookmarkStart w:id="182" w:name="_Toc32214"/>
      <w:bookmarkStart w:id="183" w:name="_Toc15559"/>
      <w:r>
        <w:rPr>
          <w:rFonts w:hint="eastAsia" w:ascii="宋体" w:hAnsi="宋体" w:cs="宋体"/>
          <w:color w:val="000000"/>
        </w:rPr>
        <w:t>4. 投标</w:t>
      </w:r>
      <w:bookmarkEnd w:id="179"/>
      <w:bookmarkEnd w:id="180"/>
      <w:bookmarkEnd w:id="181"/>
      <w:bookmarkEnd w:id="182"/>
      <w:bookmarkEnd w:id="183"/>
    </w:p>
    <w:p>
      <w:pPr>
        <w:pStyle w:val="258"/>
        <w:rPr>
          <w:rFonts w:ascii="宋体" w:hAnsi="宋体" w:cs="宋体"/>
          <w:color w:val="000000"/>
        </w:rPr>
      </w:pPr>
      <w:bookmarkStart w:id="184" w:name="_Toc8402"/>
      <w:bookmarkStart w:id="185" w:name="_Toc234382617"/>
      <w:bookmarkStart w:id="186" w:name="_Toc20549"/>
      <w:bookmarkStart w:id="187" w:name="_Toc30429"/>
      <w:bookmarkStart w:id="188" w:name="_Toc21258"/>
      <w:r>
        <w:rPr>
          <w:rFonts w:hint="eastAsia" w:ascii="宋体" w:hAnsi="宋体" w:cs="宋体"/>
          <w:color w:val="000000"/>
        </w:rPr>
        <w:t>4.1 投标文件的密封和标记</w:t>
      </w:r>
      <w:bookmarkEnd w:id="184"/>
      <w:bookmarkEnd w:id="185"/>
      <w:bookmarkEnd w:id="186"/>
      <w:bookmarkEnd w:id="187"/>
      <w:bookmarkEnd w:id="188"/>
    </w:p>
    <w:p>
      <w:pPr>
        <w:spacing w:line="400" w:lineRule="exact"/>
        <w:ind w:firstLine="420" w:firstLineChars="200"/>
        <w:rPr>
          <w:rFonts w:ascii="宋体" w:hAnsi="宋体" w:eastAsia="宋体" w:cs="宋体"/>
          <w:color w:val="000000"/>
        </w:rPr>
      </w:pPr>
      <w:bookmarkStart w:id="189" w:name="_Toc275703416"/>
      <w:bookmarkStart w:id="190" w:name="_Toc27852"/>
      <w:bookmarkStart w:id="191" w:name="_Toc5658"/>
      <w:bookmarkStart w:id="192" w:name="_Toc28165"/>
      <w:bookmarkStart w:id="193" w:name="_Toc234382618"/>
      <w:bookmarkStart w:id="194" w:name="_Toc2524"/>
      <w:r>
        <w:rPr>
          <w:rFonts w:hint="eastAsia" w:ascii="宋体" w:hAnsi="宋体" w:eastAsia="宋体" w:cs="宋体"/>
          <w:color w:val="000000"/>
        </w:rPr>
        <w:t>4.1.1投标文件</w:t>
      </w:r>
      <w:r>
        <w:rPr>
          <w:rFonts w:hint="eastAsia" w:ascii="宋体" w:hAnsi="宋体" w:eastAsia="宋体" w:cs="宋体"/>
          <w:color w:val="0000FF"/>
        </w:rPr>
        <w:t>（一正贰副）</w:t>
      </w:r>
      <w:r>
        <w:rPr>
          <w:rFonts w:hint="eastAsia" w:ascii="宋体" w:hAnsi="宋体" w:eastAsia="宋体" w:cs="宋体"/>
          <w:color w:val="000000"/>
        </w:rPr>
        <w:t>应密封包装，并在封套的封口处加盖投标人单位章。</w:t>
      </w:r>
      <w:bookmarkEnd w:id="189"/>
    </w:p>
    <w:p>
      <w:pPr>
        <w:pStyle w:val="258"/>
        <w:rPr>
          <w:rFonts w:ascii="宋体" w:hAnsi="宋体" w:cs="宋体"/>
          <w:color w:val="000000"/>
        </w:rPr>
      </w:pPr>
      <w:r>
        <w:rPr>
          <w:rFonts w:hint="eastAsia" w:ascii="宋体" w:hAnsi="宋体" w:cs="宋体"/>
          <w:color w:val="000000"/>
        </w:rPr>
        <w:t>4.2 投标文件的递交</w:t>
      </w:r>
      <w:bookmarkEnd w:id="190"/>
      <w:bookmarkEnd w:id="191"/>
      <w:bookmarkEnd w:id="192"/>
      <w:bookmarkEnd w:id="193"/>
      <w:bookmarkEnd w:id="19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4.2.1 投标人应在本章第 2.2.2 项规定的投标截止时间前递交投标文件。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4.2.2 除投标人须知前附表另有规定外，投标人所递交的投标文件（除原件外）不予退还。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4.2.3 投标截止时间后，未送达指定地点的投标文件，招标人不予受理。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4.2.4在特殊情况下，招标人如果决定延后递交投标截止时间，应在投标人须知前附表规定的时间前，通知所有投标人延后投标截止时间。在此情况下，招标人和投标人的权利和义务相应延后至新的投标截止时间。</w:t>
      </w:r>
    </w:p>
    <w:p>
      <w:pPr>
        <w:pStyle w:val="258"/>
        <w:rPr>
          <w:rFonts w:ascii="宋体" w:hAnsi="宋体" w:cs="宋体"/>
          <w:color w:val="000000"/>
        </w:rPr>
      </w:pPr>
      <w:bookmarkStart w:id="195" w:name="_Toc30347"/>
      <w:bookmarkStart w:id="196" w:name="_Toc30820"/>
      <w:bookmarkStart w:id="197" w:name="_Toc27989"/>
      <w:bookmarkStart w:id="198" w:name="_Toc31041"/>
      <w:bookmarkStart w:id="199" w:name="_Toc234382619"/>
      <w:r>
        <w:rPr>
          <w:rFonts w:hint="eastAsia" w:ascii="宋体" w:hAnsi="宋体" w:cs="宋体"/>
          <w:color w:val="000000"/>
        </w:rPr>
        <w:t>4.3 投标文件的修改与撤回</w:t>
      </w:r>
      <w:bookmarkEnd w:id="195"/>
      <w:bookmarkEnd w:id="196"/>
      <w:bookmarkEnd w:id="197"/>
      <w:bookmarkEnd w:id="198"/>
      <w:bookmarkEnd w:id="19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4.3.1 在本章第 2.2.2 项规定的投标截止时间前，投标人可以撤回已递交的投标文件。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4.3.2 投标人撤回已递交投标文件后如需投标，须重新送达。</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4.3.3修改后的投标文件应按招标文件规定进行编制、密封、标记和递交。</w:t>
      </w:r>
    </w:p>
    <w:p>
      <w:pPr>
        <w:pStyle w:val="331"/>
        <w:rPr>
          <w:rFonts w:ascii="宋体" w:hAnsi="宋体" w:cs="宋体"/>
          <w:color w:val="000000"/>
        </w:rPr>
      </w:pPr>
      <w:bookmarkStart w:id="200" w:name="_Toc234382620"/>
      <w:bookmarkStart w:id="201" w:name="_Toc32547"/>
      <w:bookmarkStart w:id="202" w:name="_Toc28473"/>
      <w:bookmarkStart w:id="203" w:name="_Toc3293"/>
      <w:bookmarkStart w:id="204" w:name="_Toc28812"/>
      <w:bookmarkStart w:id="205" w:name="EBe031f9b76cb74dce9fc506aab2319168"/>
      <w:r>
        <w:rPr>
          <w:rFonts w:hint="eastAsia" w:ascii="宋体" w:hAnsi="宋体" w:cs="宋体"/>
          <w:color w:val="000000"/>
        </w:rPr>
        <w:t>5. 开标</w:t>
      </w:r>
      <w:bookmarkEnd w:id="200"/>
      <w:bookmarkEnd w:id="201"/>
      <w:bookmarkEnd w:id="202"/>
      <w:bookmarkEnd w:id="203"/>
      <w:bookmarkEnd w:id="204"/>
    </w:p>
    <w:p>
      <w:pPr>
        <w:pStyle w:val="258"/>
        <w:rPr>
          <w:rFonts w:ascii="宋体" w:hAnsi="宋体" w:cs="宋体"/>
          <w:color w:val="000000"/>
        </w:rPr>
      </w:pPr>
      <w:bookmarkStart w:id="206" w:name="_Toc234382621"/>
      <w:bookmarkStart w:id="207" w:name="_Toc8283"/>
      <w:bookmarkStart w:id="208" w:name="_Toc4431"/>
      <w:bookmarkStart w:id="209" w:name="_Toc18854"/>
      <w:bookmarkStart w:id="210" w:name="_Toc23550"/>
      <w:r>
        <w:rPr>
          <w:rFonts w:hint="eastAsia" w:ascii="宋体" w:hAnsi="宋体" w:cs="宋体"/>
          <w:color w:val="000000"/>
        </w:rPr>
        <w:t>5.1 开标时间和地点</w:t>
      </w:r>
      <w:bookmarkEnd w:id="206"/>
      <w:bookmarkEnd w:id="207"/>
      <w:bookmarkEnd w:id="208"/>
      <w:bookmarkEnd w:id="209"/>
      <w:bookmarkEnd w:id="210"/>
    </w:p>
    <w:p>
      <w:pPr>
        <w:spacing w:line="400" w:lineRule="exact"/>
        <w:ind w:firstLine="420" w:firstLineChars="200"/>
        <w:rPr>
          <w:rFonts w:ascii="宋体" w:hAnsi="宋体" w:eastAsia="宋体" w:cs="宋体"/>
          <w:color w:val="000000"/>
          <w:szCs w:val="21"/>
        </w:rPr>
      </w:pPr>
      <w:bookmarkStart w:id="211" w:name="_Toc23805"/>
      <w:bookmarkStart w:id="212" w:name="_Toc24526"/>
      <w:bookmarkStart w:id="213" w:name="_Toc19197"/>
      <w:bookmarkStart w:id="214" w:name="_Toc234382623"/>
      <w:bookmarkStart w:id="215" w:name="_Toc30092"/>
      <w:r>
        <w:rPr>
          <w:rFonts w:hint="eastAsia" w:ascii="宋体" w:hAnsi="宋体" w:eastAsia="宋体" w:cs="宋体"/>
          <w:color w:val="000000"/>
          <w:szCs w:val="21"/>
        </w:rPr>
        <w:t>5.1.1招标人在本章第 2.2.2 项规定的投标截止时间（开标时间）和投标人须知前附表规定的地点公开开标。未在投标截止时间之前提交投标文件的，视为投标人放弃投标。</w:t>
      </w:r>
    </w:p>
    <w:p>
      <w:pPr>
        <w:pStyle w:val="258"/>
        <w:rPr>
          <w:rFonts w:ascii="宋体" w:hAnsi="宋体" w:cs="宋体"/>
          <w:color w:val="000000"/>
        </w:rPr>
      </w:pPr>
      <w:r>
        <w:rPr>
          <w:rFonts w:hint="eastAsia" w:ascii="宋体" w:hAnsi="宋体" w:cs="宋体"/>
          <w:color w:val="000000"/>
        </w:rPr>
        <w:t>5.2 开标程序</w:t>
      </w:r>
      <w:bookmarkEnd w:id="211"/>
      <w:bookmarkEnd w:id="212"/>
      <w:bookmarkEnd w:id="213"/>
      <w:bookmarkEnd w:id="214"/>
      <w:bookmarkEnd w:id="215"/>
    </w:p>
    <w:p>
      <w:pPr>
        <w:spacing w:line="400" w:lineRule="exact"/>
        <w:ind w:firstLine="420" w:firstLineChars="200"/>
        <w:rPr>
          <w:rFonts w:ascii="宋体" w:hAnsi="宋体" w:eastAsia="宋体" w:cs="宋体"/>
          <w:color w:val="000000"/>
          <w:szCs w:val="21"/>
        </w:rPr>
      </w:pPr>
      <w:bookmarkStart w:id="216" w:name="_Toc22680"/>
      <w:r>
        <w:rPr>
          <w:rFonts w:hint="eastAsia" w:ascii="宋体" w:hAnsi="宋体" w:eastAsia="宋体" w:cs="宋体"/>
          <w:color w:val="000000"/>
          <w:szCs w:val="21"/>
        </w:rPr>
        <w:t>5.2.1 主持人按下列程序进行开标：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（1）宣布开标纪律；</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（2）公布在投标截止时间前递交投标文件的投标人名称，核验投标人法定代表人或其委托人身份；</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（3）招标人或招标代理人对投标文件进行拆封；</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（4）公布投标人名称、标段名称、投标报价、质量目标、工期、项目负责人及其他内容</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（5）投标人代表抽取评标基准价系数（如有）；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（6）投标人授权委托人、招标人代表、监标人等有关人员在开标记录上签字确认；</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（7）开标结束。</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5.2.2投标人对开标有异议的，应当在开标现场提出，招标人应当当场作出答复，并制作记录。投标人对开标有异议而未在开标现场提出得，招标人将不予受理。</w:t>
      </w:r>
    </w:p>
    <w:p>
      <w:pPr>
        <w:pStyle w:val="258"/>
        <w:rPr>
          <w:rFonts w:ascii="宋体" w:hAnsi="宋体" w:cs="宋体"/>
          <w:color w:val="000000"/>
          <w:szCs w:val="21"/>
        </w:rPr>
      </w:pPr>
      <w:r>
        <w:rPr>
          <w:rFonts w:hint="eastAsia"/>
          <w:color w:val="000000"/>
        </w:rPr>
        <w:t>5.3</w:t>
      </w:r>
      <w:r>
        <w:rPr>
          <w:rFonts w:hint="eastAsia" w:ascii="宋体" w:hAnsi="宋体" w:cs="宋体"/>
          <w:color w:val="000000"/>
          <w:szCs w:val="21"/>
        </w:rPr>
        <w:t xml:space="preserve"> 开标过程中出现下列情形之一的，视为投标人放弃投标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5.3.1投标人的法定代表人或其委托人与出席开标会的法定代表人或其委托人不一致的；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5.3.2投标人法定代表人或其委托人擅自离开开标现场，造成无法核验法定代表人或其委托人身份的；</w:t>
      </w:r>
    </w:p>
    <w:p>
      <w:pPr>
        <w:pStyle w:val="51"/>
        <w:rPr>
          <w:rFonts w:ascii="宋体" w:hAnsi="宋体" w:eastAsia="宋体" w:cs="宋体"/>
          <w:szCs w:val="21"/>
        </w:rPr>
      </w:pPr>
    </w:p>
    <w:p>
      <w:pPr>
        <w:pStyle w:val="331"/>
        <w:rPr>
          <w:rFonts w:ascii="宋体" w:hAnsi="宋体" w:cs="宋体"/>
          <w:color w:val="000000"/>
        </w:rPr>
      </w:pPr>
      <w:r>
        <w:rPr>
          <w:rFonts w:hint="eastAsia" w:ascii="宋体" w:hAnsi="宋体" w:cs="宋体"/>
          <w:color w:val="000000"/>
        </w:rPr>
        <w:t>6.定标</w:t>
      </w:r>
      <w:bookmarkEnd w:id="216"/>
    </w:p>
    <w:p>
      <w:pPr>
        <w:pStyle w:val="258"/>
        <w:rPr>
          <w:rFonts w:ascii="宋体" w:hAnsi="宋体" w:cs="宋体"/>
          <w:color w:val="000000"/>
        </w:rPr>
      </w:pPr>
      <w:bookmarkStart w:id="217" w:name="_Toc10791"/>
      <w:bookmarkStart w:id="218" w:name="_Toc3926"/>
      <w:bookmarkStart w:id="219" w:name="_Toc16425"/>
      <w:r>
        <w:rPr>
          <w:rFonts w:hint="eastAsia" w:ascii="宋体" w:hAnsi="宋体" w:cs="宋体"/>
          <w:color w:val="000000"/>
        </w:rPr>
        <w:t>6.1中标结果公示</w:t>
      </w:r>
      <w:bookmarkEnd w:id="217"/>
      <w:bookmarkEnd w:id="218"/>
      <w:bookmarkEnd w:id="21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6.1.1招标人在收到评标报告之日起3日内应当在招标公告发布媒介上公示中标候选人情况、评标结果及拟定中标人名称，公示期不少于3日。</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6.1.2投标人或者其他利害关系人对依法必须进行招标的项目的评标结果有异议的，应当在中标候选人公示期间提出。招标人应当自收到异议之日起3 日内作出答复；作出答复前，应当暂停招标投标活动。</w:t>
      </w:r>
    </w:p>
    <w:p>
      <w:pPr>
        <w:pStyle w:val="51"/>
        <w:rPr>
          <w:rFonts w:ascii="宋体" w:hAnsi="宋体" w:eastAsia="宋体" w:cs="宋体"/>
          <w:color w:val="000000"/>
          <w:szCs w:val="21"/>
        </w:rPr>
      </w:pPr>
    </w:p>
    <w:p>
      <w:pPr>
        <w:pStyle w:val="258"/>
        <w:rPr>
          <w:rFonts w:ascii="宋体" w:hAnsi="宋体" w:cs="宋体"/>
          <w:color w:val="000000"/>
        </w:rPr>
      </w:pPr>
      <w:bookmarkStart w:id="220" w:name="_Toc9746"/>
      <w:bookmarkStart w:id="221" w:name="_Toc24716"/>
      <w:bookmarkStart w:id="222" w:name="_Toc10449"/>
      <w:bookmarkStart w:id="223" w:name="_Toc234382631"/>
      <w:bookmarkStart w:id="224" w:name="_Toc13872"/>
      <w:r>
        <w:rPr>
          <w:rFonts w:hint="eastAsia" w:ascii="宋体" w:hAnsi="宋体" w:cs="宋体"/>
          <w:color w:val="000000"/>
        </w:rPr>
        <w:t>6.2 中标通知</w:t>
      </w:r>
      <w:bookmarkEnd w:id="220"/>
      <w:bookmarkEnd w:id="221"/>
      <w:bookmarkEnd w:id="222"/>
      <w:bookmarkEnd w:id="223"/>
      <w:bookmarkEnd w:id="22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6.2.1投标人或者其他利害关系人在中标候选人、评标结果及拟定中标人公示期间无异议，招标人一般应当在5日内确定中标人，但最迟应当在投标有效期满前确定。</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6.2.2中标人确定后，招标人应当将中标人名称、中标价和项目负责人信息在招标公告发布媒介上予以公告，并发出中标通知书。</w:t>
      </w:r>
    </w:p>
    <w:p>
      <w:pPr>
        <w:pStyle w:val="331"/>
        <w:rPr>
          <w:rFonts w:ascii="宋体" w:hAnsi="宋体" w:cs="宋体"/>
          <w:color w:val="000000"/>
        </w:rPr>
      </w:pPr>
      <w:r>
        <w:rPr>
          <w:rFonts w:hint="eastAsia" w:ascii="宋体" w:hAnsi="宋体" w:cs="宋体"/>
          <w:color w:val="000000"/>
        </w:rPr>
        <w:t>7.合同</w:t>
      </w:r>
      <w:bookmarkStart w:id="317" w:name="_GoBack"/>
      <w:bookmarkEnd w:id="317"/>
    </w:p>
    <w:p>
      <w:pPr>
        <w:pStyle w:val="258"/>
        <w:rPr>
          <w:rFonts w:ascii="宋体" w:hAnsi="宋体" w:cs="宋体"/>
          <w:color w:val="000000"/>
        </w:rPr>
      </w:pPr>
      <w:r>
        <w:rPr>
          <w:rFonts w:hint="eastAsia" w:ascii="宋体" w:hAnsi="宋体" w:cs="宋体"/>
          <w:color w:val="000000"/>
        </w:rPr>
        <w:t>7.1 签订合同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7.1.1 招标人和中标人应当在规定的时间内，根据招标文件和中标人的投标文件订立书面合同。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7.1.2中标人无正当理由拒签合同的，招标人取消其中标资格，其投标保证金不予退还；给招标人造成的损失超过投标保证金数额的，中标人还应当对超过部分予以赔偿。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7.1.3发出中标通知书后，招标人无正当理由拒签合同的，招标人向中标人退还投标保证金；给中标人造成损失的，还应当赔偿损失。</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7.1.4如果根据招标文件相关规定，招标人取消了中标人的中标资格，在此情况下，招标人可将合同授予下一个中标候选人，或者按规定重新组织招标。</w:t>
      </w:r>
    </w:p>
    <w:p>
      <w:pPr>
        <w:rPr>
          <w:rFonts w:ascii="宋体" w:hAnsi="宋体" w:eastAsia="宋体" w:cs="宋体"/>
          <w:color w:val="000000"/>
        </w:rPr>
      </w:pPr>
      <w:r>
        <w:rPr>
          <w:rFonts w:hint="eastAsia" w:ascii="宋体" w:hAnsi="宋体" w:eastAsia="宋体" w:cs="宋体"/>
          <w:color w:val="000000"/>
          <w:sz w:val="20"/>
        </w:rPr>
        <w:t xml:space="preserve"> </w:t>
      </w:r>
      <w:bookmarkEnd w:id="205"/>
    </w:p>
    <w:p>
      <w:pPr>
        <w:rPr>
          <w:rFonts w:ascii="宋体" w:hAnsi="宋体" w:eastAsia="宋体" w:cs="宋体"/>
          <w:color w:val="000000"/>
        </w:rPr>
      </w:pPr>
      <w:bookmarkStart w:id="225" w:name="EB7d2e503a56244111b3601dbd1e441d60"/>
      <w:r>
        <w:rPr>
          <w:rFonts w:hint="eastAsia" w:ascii="宋体" w:hAnsi="宋体" w:eastAsia="宋体" w:cs="宋体"/>
          <w:color w:val="000000"/>
          <w:sz w:val="20"/>
        </w:rPr>
        <w:t xml:space="preserve"> </w:t>
      </w:r>
      <w:bookmarkEnd w:id="225"/>
      <w:bookmarkStart w:id="226" w:name="EBf78e21ddc82e4e8eb7ef640b3b63171e"/>
      <w:r>
        <w:rPr>
          <w:rFonts w:hint="eastAsia" w:ascii="宋体" w:hAnsi="宋体" w:eastAsia="宋体" w:cs="宋体"/>
          <w:color w:val="000000"/>
          <w:sz w:val="20"/>
        </w:rPr>
        <w:t xml:space="preserve"> </w:t>
      </w:r>
      <w:bookmarkEnd w:id="226"/>
    </w:p>
    <w:p>
      <w:pPr>
        <w:pStyle w:val="331"/>
        <w:rPr>
          <w:rFonts w:ascii="宋体" w:hAnsi="宋体" w:cs="宋体"/>
          <w:color w:val="000000"/>
        </w:rPr>
      </w:pPr>
      <w:bookmarkStart w:id="227" w:name="_Toc234382634"/>
      <w:bookmarkStart w:id="228" w:name="_Toc9411"/>
      <w:bookmarkStart w:id="229" w:name="_Toc3460"/>
      <w:bookmarkStart w:id="230" w:name="_Toc13510"/>
      <w:bookmarkStart w:id="231" w:name="_Toc21615"/>
      <w:r>
        <w:rPr>
          <w:rFonts w:hint="eastAsia" w:ascii="宋体" w:hAnsi="宋体" w:cs="宋体"/>
          <w:color w:val="000000"/>
        </w:rPr>
        <w:t>8. 重新招标和不再招标</w:t>
      </w:r>
      <w:bookmarkEnd w:id="227"/>
      <w:bookmarkEnd w:id="228"/>
      <w:bookmarkEnd w:id="229"/>
      <w:bookmarkEnd w:id="230"/>
      <w:bookmarkEnd w:id="231"/>
    </w:p>
    <w:p>
      <w:pPr>
        <w:pStyle w:val="258"/>
        <w:rPr>
          <w:rFonts w:ascii="宋体" w:hAnsi="宋体" w:cs="宋体"/>
          <w:color w:val="000000"/>
        </w:rPr>
      </w:pPr>
      <w:bookmarkStart w:id="232" w:name="_Toc21691"/>
      <w:bookmarkStart w:id="233" w:name="_Toc234382635"/>
      <w:bookmarkStart w:id="234" w:name="_Toc6107"/>
      <w:bookmarkStart w:id="235" w:name="_Toc19683"/>
      <w:bookmarkStart w:id="236" w:name="_Toc15825"/>
      <w:r>
        <w:rPr>
          <w:rFonts w:hint="eastAsia" w:ascii="宋体" w:hAnsi="宋体" w:cs="宋体"/>
          <w:color w:val="000000"/>
        </w:rPr>
        <w:t>8.1 重新招标</w:t>
      </w:r>
      <w:bookmarkEnd w:id="232"/>
      <w:bookmarkEnd w:id="233"/>
      <w:bookmarkEnd w:id="234"/>
      <w:bookmarkEnd w:id="235"/>
      <w:bookmarkEnd w:id="236"/>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有下列情形之一的，招标人将重新招标：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（1）投标截止时间止，投标人少于3个的；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（2）经招投标小组评审后否决所有投标的；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（3）中标候选人均未与招标人签订合同的；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（4）法律、法规规定的其他情形。</w:t>
      </w:r>
    </w:p>
    <w:p>
      <w:pPr>
        <w:pStyle w:val="258"/>
        <w:rPr>
          <w:rFonts w:ascii="宋体" w:hAnsi="宋体" w:cs="宋体"/>
          <w:color w:val="000000"/>
        </w:rPr>
      </w:pPr>
      <w:bookmarkStart w:id="237" w:name="_Toc21117"/>
      <w:bookmarkStart w:id="238" w:name="_Toc6866"/>
      <w:bookmarkStart w:id="239" w:name="_Toc26128"/>
      <w:bookmarkStart w:id="240" w:name="_Toc23404"/>
      <w:bookmarkStart w:id="241" w:name="_Toc234382636"/>
      <w:r>
        <w:rPr>
          <w:rFonts w:hint="eastAsia" w:ascii="宋体" w:hAnsi="宋体" w:cs="宋体"/>
          <w:color w:val="000000"/>
        </w:rPr>
        <w:t>8.2 不再招标</w:t>
      </w:r>
      <w:bookmarkEnd w:id="237"/>
      <w:bookmarkEnd w:id="238"/>
      <w:bookmarkEnd w:id="239"/>
      <w:bookmarkEnd w:id="240"/>
      <w:bookmarkEnd w:id="241"/>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重新招标后投标人仍少于3 个或者所有投标被否决的，属于必须审批或核准的工程建设项目，经原审批或核准部门批准后不再进行招标。</w:t>
      </w:r>
    </w:p>
    <w:p>
      <w:pPr>
        <w:pStyle w:val="51"/>
        <w:ind w:left="0" w:leftChars="0" w:firstLine="0" w:firstLineChars="0"/>
        <w:rPr>
          <w:rFonts w:ascii="宋体" w:hAnsi="宋体" w:eastAsia="宋体" w:cs="宋体"/>
          <w:color w:val="000000"/>
          <w:szCs w:val="21"/>
        </w:rPr>
      </w:pPr>
    </w:p>
    <w:p>
      <w:pPr>
        <w:spacing w:line="40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9. 异议和投诉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9.1 异议</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9.1.1 投标人或者其他利害关系人认为招标投标活动不符合法律、法规和规章规定的,可以依法向招标人提出异议，也可以在知道或者应当知道之日起 10 日内，向有关行政监督部门投诉，但就《中华人民共和国招标投标法实施条例》第二十二条、第四十四条、第五十四条规定事项进行投诉的，应当依法先向招标人提出异议。</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9.1.2 异议提出的期限规定如下：</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（1）对资格预审文件有异议的，潜在投标人或者其他利害关系人应当在提交资格预审申请文件截止时间 2 日前提出；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（2）对招标文件有异议的，潜在投标人或者其他利害关系人应当在投标截止时间 3 日前提出， 其中对采用合理价随机确定中标人法发包的， 在提交投标文件截止时间 1 日前提出；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（3）对资格预审不合格结果有异议的，应在资格预审未入围结果公示期内提出；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（4）对开标有异议的，应当在开标现场提出；开标结束后投标人不得对开标事项再提出异议；</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（5）对评标结果有异议的，投标人或者其他利害关系人应当在中标候选人的公示期间提出。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9.1.3 异议人对除涉及开标事项提出异议的， 应当向招标人提交异议书 （格式和内容见《江苏省房屋建筑和市政基础设施工程招标投标活动异议与投诉处理实施办法》 （苏建规字[2016]4 号））。</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9.1.4 招标人将在法定时限内完成异议处理。对资格预审文件、招标文件、评标结果的异议，招标人应当自异议受理之日起 3 日内作出书面答复，答复内容不得涉及商业秘密。招标人处理异议需要进行检验、检测、鉴定、调查取证、组织专家评审或到外地调查的，所需时间不计入前款规定时限。</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9.2 投诉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9.2.1 对资格预审公告、招标公告、资格预审文件、招标文件、招标控制价、资格预审结果、评标结果提出投诉的，以其发布或者公示之日作为投诉人知道或者应当知道之日。</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9.2.2 投诉人应当向项目所在地行政监督部门投诉。 投诉应当提交投诉书 （格式和内容见《江苏省房屋建筑和市政基础设施工程招标投标活动异议与投诉处理实施办法》 （苏建规字[2016]4 号））。对依法应当在投诉前提出异议的事项，投诉时应当同时附上异议书和招标人异议答复函。</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9.2.3 有下列情形之一的投诉，不予受理：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（1）投诉人不是所投诉招标投标活动的参与者，或者与投诉项目无任何利害关系，或者无法证明其为招投标活动的参与者或者其它利害关系的；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（2）投诉事项不具体，且未提供有效线索，难以查证的；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（3）投诉书未署具投诉人真实姓名、签字和有效联系方式的；以法人名义投诉的，投诉书未经法定代表人或者授权委托人签字并加盖公章的；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（4）超过投诉时效的；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（5）已经作出处理决定，并且投诉人没有提出新的证据；</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（6）准予撤回投诉后又以同一事实和理由提出投诉的；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（7）应先提出异议的投诉事项没有提出异议的，或者招标人已暂停招投标活动并正在对异议人提出的异议进行调查处理的；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（8）投诉事项已进入行政复议或者行政诉讼程序的；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（9）投诉人就同一事实和理由再提出投诉的。</w:t>
      </w:r>
    </w:p>
    <w:p>
      <w:pPr>
        <w:pStyle w:val="51"/>
        <w:rPr>
          <w:rFonts w:ascii="宋体" w:hAnsi="宋体" w:eastAsia="宋体" w:cs="宋体"/>
          <w:color w:val="000000"/>
          <w:szCs w:val="21"/>
        </w:rPr>
      </w:pPr>
    </w:p>
    <w:p>
      <w:bookmarkStart w:id="242" w:name="_Toc71705731"/>
      <w:r>
        <w:rPr>
          <w:rFonts w:hint="eastAsia"/>
        </w:rPr>
        <w:br w:type="page"/>
      </w:r>
    </w:p>
    <w:bookmarkEnd w:id="30"/>
    <w:bookmarkEnd w:id="31"/>
    <w:bookmarkEnd w:id="32"/>
    <w:bookmarkEnd w:id="33"/>
    <w:bookmarkEnd w:id="242"/>
    <w:p>
      <w:pPr>
        <w:pStyle w:val="4"/>
        <w:ind w:left="3259" w:hanging="1193"/>
        <w:jc w:val="left"/>
        <w:rPr>
          <w:rFonts w:ascii="宋体" w:hAnsi="宋体"/>
        </w:rPr>
      </w:pPr>
      <w:bookmarkStart w:id="243" w:name="EB1c1bbb094230470b9308ea6f42ff24ff"/>
      <w:r>
        <w:rPr>
          <w:rFonts w:ascii="宋体" w:hAnsi="宋体" w:cs="黑体"/>
        </w:rPr>
        <w:t>第三章</w:t>
      </w:r>
      <w:r>
        <w:rPr>
          <w:rFonts w:ascii="宋体" w:hAnsi="宋体"/>
          <w:b w:val="0"/>
        </w:rPr>
        <w:t xml:space="preserve"> </w:t>
      </w:r>
      <w:r>
        <w:rPr>
          <w:rFonts w:ascii="宋体" w:hAnsi="宋体" w:cs="黑体"/>
        </w:rPr>
        <w:t>评标办法（综合评估法）</w:t>
      </w:r>
      <w:r>
        <w:rPr>
          <w:rFonts w:ascii="宋体" w:hAnsi="宋体"/>
          <w:vertAlign w:val="subscript"/>
        </w:rPr>
        <w:t xml:space="preserve"> </w:t>
      </w:r>
    </w:p>
    <w:p>
      <w:pPr>
        <w:pStyle w:val="5"/>
        <w:spacing w:after="0" w:line="259" w:lineRule="auto"/>
        <w:ind w:left="2860" w:leftChars="1362" w:firstLine="427" w:firstLineChars="133"/>
        <w:jc w:val="both"/>
        <w:rPr>
          <w:rFonts w:ascii="宋体" w:hAnsi="宋体" w:eastAsia="宋体"/>
        </w:rPr>
      </w:pPr>
      <w:bookmarkStart w:id="244" w:name="_Toc1951"/>
      <w:bookmarkStart w:id="245" w:name="_Toc106960104"/>
      <w:r>
        <w:rPr>
          <w:rFonts w:ascii="宋体" w:hAnsi="宋体" w:eastAsia="宋体" w:cs="黑体"/>
        </w:rPr>
        <w:t>评标办法前附表</w:t>
      </w:r>
      <w:bookmarkEnd w:id="244"/>
      <w:bookmarkEnd w:id="245"/>
    </w:p>
    <w:tbl>
      <w:tblPr>
        <w:tblStyle w:val="52"/>
        <w:tblW w:w="8704" w:type="dxa"/>
        <w:tblInd w:w="43" w:type="dxa"/>
        <w:tblLayout w:type="autofit"/>
        <w:tblCellMar>
          <w:top w:w="87" w:type="dxa"/>
          <w:left w:w="106" w:type="dxa"/>
          <w:bottom w:w="0" w:type="dxa"/>
          <w:right w:w="0" w:type="dxa"/>
        </w:tblCellMar>
      </w:tblPr>
      <w:tblGrid>
        <w:gridCol w:w="746"/>
        <w:gridCol w:w="118"/>
        <w:gridCol w:w="1020"/>
        <w:gridCol w:w="1090"/>
        <w:gridCol w:w="855"/>
        <w:gridCol w:w="4875"/>
      </w:tblGrid>
      <w:tr>
        <w:tblPrEx>
          <w:tblCellMar>
            <w:top w:w="87" w:type="dxa"/>
            <w:left w:w="106" w:type="dxa"/>
            <w:bottom w:w="0" w:type="dxa"/>
            <w:right w:w="0" w:type="dxa"/>
          </w:tblCellMar>
        </w:tblPrEx>
        <w:trPr>
          <w:trHeight w:val="370" w:hRule="atLeast"/>
        </w:trPr>
        <w:tc>
          <w:tcPr>
            <w:tcW w:w="1884" w:type="dxa"/>
            <w:gridSpan w:val="3"/>
            <w:tcBorders>
              <w:top w:val="single" w:color="000000" w:sz="4" w:space="0"/>
              <w:left w:val="single" w:color="000000" w:sz="4" w:space="0"/>
              <w:bottom w:val="single" w:color="000000" w:sz="4" w:space="0"/>
              <w:right w:val="nil"/>
            </w:tcBorders>
          </w:tcPr>
          <w:p>
            <w:pPr>
              <w:spacing w:after="160" w:line="259" w:lineRule="auto"/>
              <w:rPr>
                <w:rFonts w:ascii="宋体" w:hAnsi="宋体" w:eastAsia="宋体"/>
              </w:rPr>
            </w:pPr>
          </w:p>
        </w:tc>
        <w:tc>
          <w:tcPr>
            <w:tcW w:w="6820" w:type="dxa"/>
            <w:gridSpan w:val="3"/>
            <w:tcBorders>
              <w:top w:val="single" w:color="000000" w:sz="4" w:space="0"/>
              <w:left w:val="nil"/>
              <w:bottom w:val="single" w:color="000000" w:sz="4" w:space="0"/>
              <w:right w:val="single" w:color="000000" w:sz="4" w:space="0"/>
            </w:tcBorders>
          </w:tcPr>
          <w:p>
            <w:pPr>
              <w:spacing w:line="259" w:lineRule="auto"/>
              <w:ind w:left="1880"/>
              <w:rPr>
                <w:rFonts w:ascii="宋体" w:hAnsi="宋体" w:eastAsia="宋体"/>
              </w:rPr>
            </w:pPr>
            <w:r>
              <w:rPr>
                <w:rFonts w:ascii="宋体" w:hAnsi="宋体" w:eastAsia="宋体"/>
                <w:sz w:val="24"/>
              </w:rPr>
              <w:t>评标入围</w:t>
            </w:r>
            <w:r>
              <w:rPr>
                <w:rFonts w:ascii="宋体" w:hAnsi="宋体" w:eastAsia="宋体"/>
                <w:b/>
              </w:rPr>
              <w:t xml:space="preserve"> </w:t>
            </w:r>
          </w:p>
        </w:tc>
      </w:tr>
      <w:tr>
        <w:tblPrEx>
          <w:tblCellMar>
            <w:top w:w="87" w:type="dxa"/>
            <w:left w:w="106" w:type="dxa"/>
            <w:bottom w:w="0" w:type="dxa"/>
            <w:right w:w="0" w:type="dxa"/>
          </w:tblCellMar>
        </w:tblPrEx>
        <w:trPr>
          <w:trHeight w:val="370" w:hRule="atLeast"/>
        </w:trPr>
        <w:tc>
          <w:tcPr>
            <w:tcW w:w="1884" w:type="dxa"/>
            <w:gridSpan w:val="3"/>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条款号</w:t>
            </w:r>
            <w:r>
              <w:rPr>
                <w:rFonts w:ascii="宋体" w:hAnsi="宋体" w:eastAsia="宋体"/>
                <w:b/>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10"/>
              <w:jc w:val="center"/>
              <w:rPr>
                <w:rFonts w:ascii="宋体" w:hAnsi="宋体" w:eastAsia="宋体"/>
              </w:rPr>
            </w:pPr>
            <w:r>
              <w:rPr>
                <w:rFonts w:ascii="宋体" w:hAnsi="宋体" w:eastAsia="宋体"/>
              </w:rPr>
              <w:t>评审因素</w:t>
            </w:r>
            <w:r>
              <w:rPr>
                <w:rFonts w:ascii="宋体" w:hAnsi="宋体" w:eastAsia="宋体"/>
                <w:b/>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评审标准</w:t>
            </w:r>
            <w:r>
              <w:rPr>
                <w:rFonts w:ascii="宋体" w:hAnsi="宋体" w:eastAsia="宋体"/>
                <w:b/>
              </w:rPr>
              <w:t xml:space="preserve"> </w:t>
            </w:r>
          </w:p>
        </w:tc>
      </w:tr>
      <w:tr>
        <w:tblPrEx>
          <w:tblCellMar>
            <w:top w:w="87" w:type="dxa"/>
            <w:left w:w="106" w:type="dxa"/>
            <w:bottom w:w="0" w:type="dxa"/>
            <w:right w:w="0" w:type="dxa"/>
          </w:tblCellMar>
        </w:tblPrEx>
        <w:trPr>
          <w:trHeight w:val="2890" w:hRule="atLeast"/>
        </w:trPr>
        <w:tc>
          <w:tcPr>
            <w:tcW w:w="1884"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right="103"/>
              <w:jc w:val="center"/>
              <w:rPr>
                <w:rFonts w:ascii="宋体" w:hAnsi="宋体" w:eastAsia="宋体"/>
              </w:rPr>
            </w:pPr>
            <w:r>
              <w:rPr>
                <w:rFonts w:ascii="宋体" w:hAnsi="宋体" w:eastAsia="宋体"/>
              </w:rPr>
              <w:t xml:space="preserve">2.1.1 </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233"/>
              <w:rPr>
                <w:rFonts w:ascii="宋体" w:hAnsi="宋体" w:eastAsia="宋体"/>
              </w:rPr>
            </w:pPr>
            <w:r>
              <w:rPr>
                <w:rFonts w:ascii="宋体" w:hAnsi="宋体" w:eastAsia="宋体"/>
              </w:rPr>
              <w:t xml:space="preserve">评标入围条件 </w:t>
            </w:r>
          </w:p>
        </w:tc>
        <w:tc>
          <w:tcPr>
            <w:tcW w:w="4875" w:type="dxa"/>
            <w:tcBorders>
              <w:top w:val="single" w:color="000000" w:sz="4" w:space="0"/>
              <w:left w:val="single" w:color="000000" w:sz="4" w:space="0"/>
              <w:bottom w:val="single" w:color="000000" w:sz="4" w:space="0"/>
              <w:right w:val="single" w:color="000000" w:sz="4" w:space="0"/>
            </w:tcBorders>
          </w:tcPr>
          <w:p>
            <w:pPr>
              <w:spacing w:after="86" w:line="259" w:lineRule="auto"/>
              <w:rPr>
                <w:rFonts w:ascii="宋体" w:hAnsi="宋体" w:eastAsia="宋体"/>
              </w:rPr>
            </w:pPr>
            <w:r>
              <w:rPr>
                <w:rFonts w:ascii="宋体" w:hAnsi="宋体" w:eastAsia="宋体"/>
              </w:rPr>
              <w:t xml:space="preserve">投标文件存在所列情况之一的，不再进行后续评标 </w:t>
            </w:r>
          </w:p>
          <w:p>
            <w:pPr>
              <w:spacing w:after="85" w:line="259" w:lineRule="auto"/>
              <w:rPr>
                <w:rFonts w:ascii="宋体" w:hAnsi="宋体" w:eastAsia="宋体"/>
              </w:rPr>
            </w:pPr>
            <w:r>
              <w:rPr>
                <w:rFonts w:hint="eastAsia" w:ascii="宋体" w:hAnsi="宋体" w:eastAsia="宋体" w:cs="宋体"/>
              </w:rPr>
              <w:t></w:t>
            </w:r>
            <w:r>
              <w:rPr>
                <w:rFonts w:ascii="宋体" w:hAnsi="宋体" w:eastAsia="宋体"/>
              </w:rPr>
              <w:t xml:space="preserve">至投标截止时间止，未足额递交投标保证金； </w:t>
            </w:r>
          </w:p>
          <w:p>
            <w:pPr>
              <w:spacing w:line="333" w:lineRule="auto"/>
              <w:rPr>
                <w:rFonts w:ascii="宋体" w:hAnsi="宋体" w:eastAsia="宋体"/>
              </w:rPr>
            </w:pPr>
            <w:r>
              <w:rPr>
                <w:rFonts w:hint="eastAsia" w:ascii="宋体" w:hAnsi="宋体" w:eastAsia="宋体" w:cs="宋体"/>
              </w:rPr>
              <w:t></w:t>
            </w:r>
            <w:r>
              <w:rPr>
                <w:rFonts w:ascii="宋体" w:hAnsi="宋体" w:eastAsia="宋体"/>
              </w:rPr>
              <w:t xml:space="preserve">投标函及投标函附录中载明的招标项目完成期限超过招标文件规定的期限； </w:t>
            </w:r>
          </w:p>
          <w:p>
            <w:pPr>
              <w:spacing w:line="333" w:lineRule="auto"/>
              <w:rPr>
                <w:rFonts w:ascii="宋体" w:hAnsi="宋体" w:eastAsia="宋体"/>
              </w:rPr>
            </w:pPr>
            <w:r>
              <w:rPr>
                <w:rFonts w:hint="eastAsia" w:ascii="宋体" w:hAnsi="宋体" w:eastAsia="宋体" w:cs="宋体"/>
              </w:rPr>
              <w:t></w:t>
            </w:r>
            <w:r>
              <w:rPr>
                <w:rFonts w:ascii="宋体" w:hAnsi="宋体" w:eastAsia="宋体"/>
              </w:rPr>
              <w:t xml:space="preserve">投标函及投标函附录中载明的投标质量标准未响应招标文件的实质性要求和条件； </w:t>
            </w:r>
          </w:p>
          <w:p>
            <w:pPr>
              <w:spacing w:line="259" w:lineRule="auto"/>
              <w:rPr>
                <w:rFonts w:ascii="宋体" w:hAnsi="宋体" w:eastAsia="宋体"/>
              </w:rPr>
            </w:pPr>
            <w:r>
              <w:rPr>
                <w:rFonts w:hint="eastAsia" w:ascii="宋体" w:hAnsi="宋体" w:eastAsia="宋体" w:cs="宋体"/>
              </w:rPr>
              <w:t></w:t>
            </w:r>
            <w:r>
              <w:rPr>
                <w:rFonts w:ascii="宋体" w:hAnsi="宋体" w:eastAsia="宋体"/>
              </w:rPr>
              <w:t xml:space="preserve">投标函及投标函附录中载明的投标报价高于招标人期望值； </w:t>
            </w:r>
          </w:p>
        </w:tc>
      </w:tr>
      <w:tr>
        <w:tblPrEx>
          <w:tblCellMar>
            <w:top w:w="87" w:type="dxa"/>
            <w:left w:w="106" w:type="dxa"/>
            <w:bottom w:w="0" w:type="dxa"/>
            <w:right w:w="0" w:type="dxa"/>
          </w:tblCellMar>
        </w:tblPrEx>
        <w:trPr>
          <w:trHeight w:val="372" w:hRule="atLeast"/>
        </w:trPr>
        <w:tc>
          <w:tcPr>
            <w:tcW w:w="1884" w:type="dxa"/>
            <w:gridSpan w:val="3"/>
            <w:tcBorders>
              <w:top w:val="single" w:color="000000" w:sz="4" w:space="0"/>
              <w:left w:val="single" w:color="000000" w:sz="4" w:space="0"/>
              <w:bottom w:val="single" w:color="000000" w:sz="4" w:space="0"/>
              <w:right w:val="nil"/>
            </w:tcBorders>
          </w:tcPr>
          <w:p>
            <w:pPr>
              <w:spacing w:after="160" w:line="259" w:lineRule="auto"/>
              <w:rPr>
                <w:rFonts w:ascii="宋体" w:hAnsi="宋体" w:eastAsia="宋体"/>
              </w:rPr>
            </w:pPr>
          </w:p>
        </w:tc>
        <w:tc>
          <w:tcPr>
            <w:tcW w:w="6820" w:type="dxa"/>
            <w:gridSpan w:val="3"/>
            <w:tcBorders>
              <w:top w:val="single" w:color="000000" w:sz="4" w:space="0"/>
              <w:left w:val="nil"/>
              <w:bottom w:val="single" w:color="000000" w:sz="4" w:space="0"/>
              <w:right w:val="single" w:color="000000" w:sz="4" w:space="0"/>
            </w:tcBorders>
          </w:tcPr>
          <w:p>
            <w:pPr>
              <w:spacing w:line="259" w:lineRule="auto"/>
              <w:ind w:left="1880"/>
              <w:rPr>
                <w:rFonts w:ascii="宋体" w:hAnsi="宋体" w:eastAsia="宋体"/>
              </w:rPr>
            </w:pPr>
            <w:r>
              <w:rPr>
                <w:rFonts w:ascii="宋体" w:hAnsi="宋体" w:eastAsia="宋体"/>
                <w:sz w:val="24"/>
              </w:rPr>
              <w:t>初步评审</w:t>
            </w:r>
            <w:r>
              <w:rPr>
                <w:rFonts w:ascii="宋体" w:hAnsi="宋体" w:eastAsia="宋体"/>
                <w:b/>
                <w:sz w:val="24"/>
              </w:rPr>
              <w:t xml:space="preserve"> </w:t>
            </w:r>
          </w:p>
        </w:tc>
      </w:tr>
      <w:tr>
        <w:tblPrEx>
          <w:tblCellMar>
            <w:top w:w="87" w:type="dxa"/>
            <w:left w:w="106" w:type="dxa"/>
            <w:bottom w:w="0" w:type="dxa"/>
            <w:right w:w="0" w:type="dxa"/>
          </w:tblCellMar>
        </w:tblPrEx>
        <w:trPr>
          <w:trHeight w:val="370" w:hRule="atLeast"/>
        </w:trPr>
        <w:tc>
          <w:tcPr>
            <w:tcW w:w="1884" w:type="dxa"/>
            <w:gridSpan w:val="3"/>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条款号</w:t>
            </w:r>
            <w:r>
              <w:rPr>
                <w:rFonts w:ascii="宋体" w:hAnsi="宋体" w:eastAsia="宋体"/>
                <w:b/>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10"/>
              <w:jc w:val="center"/>
              <w:rPr>
                <w:rFonts w:ascii="宋体" w:hAnsi="宋体" w:eastAsia="宋体"/>
              </w:rPr>
            </w:pPr>
            <w:r>
              <w:rPr>
                <w:rFonts w:ascii="宋体" w:hAnsi="宋体" w:eastAsia="宋体"/>
              </w:rPr>
              <w:t>评审因素</w:t>
            </w:r>
            <w:r>
              <w:rPr>
                <w:rFonts w:ascii="宋体" w:hAnsi="宋体" w:eastAsia="宋体"/>
                <w:b/>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评审标准</w:t>
            </w:r>
            <w:r>
              <w:rPr>
                <w:rFonts w:ascii="宋体" w:hAnsi="宋体" w:eastAsia="宋体"/>
                <w:b/>
              </w:rPr>
              <w:t xml:space="preserve"> </w:t>
            </w:r>
          </w:p>
        </w:tc>
      </w:tr>
      <w:tr>
        <w:tblPrEx>
          <w:tblCellMar>
            <w:top w:w="87" w:type="dxa"/>
            <w:left w:w="106" w:type="dxa"/>
            <w:bottom w:w="0" w:type="dxa"/>
            <w:right w:w="0" w:type="dxa"/>
          </w:tblCellMar>
        </w:tblPrEx>
        <w:trPr>
          <w:trHeight w:val="370" w:hRule="atLeast"/>
        </w:trPr>
        <w:tc>
          <w:tcPr>
            <w:tcW w:w="8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2"/>
              <w:rPr>
                <w:rFonts w:ascii="宋体" w:hAnsi="宋体" w:eastAsia="宋体"/>
              </w:rPr>
            </w:pPr>
            <w:r>
              <w:rPr>
                <w:rFonts w:ascii="宋体" w:hAnsi="宋体" w:eastAsia="宋体"/>
              </w:rPr>
              <w:t xml:space="preserve">2.2.1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
              <w:rPr>
                <w:rFonts w:ascii="宋体" w:hAnsi="宋体" w:eastAsia="宋体"/>
              </w:rPr>
            </w:pPr>
            <w:r>
              <w:rPr>
                <w:rFonts w:ascii="宋体" w:hAnsi="宋体" w:eastAsia="宋体"/>
              </w:rPr>
              <w:t>形 式 评审标准</w:t>
            </w:r>
            <w:r>
              <w:rPr>
                <w:rFonts w:ascii="宋体" w:hAnsi="宋体" w:eastAsia="宋体"/>
                <w:b/>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投标人名称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与营业执照、资质证书、安全生产许可证一致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25"/>
              <w:rPr>
                <w:rFonts w:ascii="宋体" w:hAnsi="宋体" w:eastAsia="宋体"/>
              </w:rPr>
            </w:pPr>
            <w:r>
              <w:rPr>
                <w:rFonts w:ascii="宋体" w:hAnsi="宋体" w:eastAsia="宋体"/>
              </w:rPr>
              <w:t xml:space="preserve">投标文件签字盖章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符合第二章投标人须知前附表</w:t>
            </w:r>
            <w:r>
              <w:rPr>
                <w:rFonts w:hint="eastAsia" w:ascii="宋体" w:hAnsi="宋体" w:eastAsia="宋体"/>
              </w:rPr>
              <w:t>6.1</w:t>
            </w:r>
            <w:r>
              <w:rPr>
                <w:rFonts w:ascii="宋体" w:hAnsi="宋体" w:eastAsia="宋体"/>
              </w:rPr>
              <w:t xml:space="preserve">要求 </w:t>
            </w:r>
          </w:p>
        </w:tc>
      </w:tr>
      <w:tr>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233"/>
              <w:rPr>
                <w:rFonts w:ascii="宋体" w:hAnsi="宋体" w:eastAsia="宋体"/>
              </w:rPr>
            </w:pPr>
            <w:r>
              <w:rPr>
                <w:rFonts w:ascii="宋体" w:hAnsi="宋体" w:eastAsia="宋体"/>
              </w:rPr>
              <w:t xml:space="preserve">投标文件格式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符合第八章“投标文件格式”的要求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233"/>
              <w:rPr>
                <w:rFonts w:ascii="宋体" w:hAnsi="宋体" w:eastAsia="宋体"/>
              </w:rPr>
            </w:pPr>
            <w:r>
              <w:rPr>
                <w:rFonts w:ascii="宋体" w:hAnsi="宋体" w:eastAsia="宋体"/>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提交联合体协议书，并明确联合体牵头人（如有） </w:t>
            </w:r>
          </w:p>
        </w:tc>
      </w:tr>
      <w:tr>
        <w:trPr>
          <w:trHeight w:val="372"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报价唯一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只能有一个有效报价 </w:t>
            </w:r>
          </w:p>
        </w:tc>
      </w:tr>
      <w:tr>
        <w:tblPrEx>
          <w:tblCellMar>
            <w:top w:w="87" w:type="dxa"/>
            <w:left w:w="106" w:type="dxa"/>
            <w:bottom w:w="0" w:type="dxa"/>
            <w:right w:w="0" w:type="dxa"/>
          </w:tblCellMar>
        </w:tblPrEx>
        <w:trPr>
          <w:trHeight w:val="370" w:hRule="atLeast"/>
        </w:trPr>
        <w:tc>
          <w:tcPr>
            <w:tcW w:w="8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2"/>
              <w:rPr>
                <w:rFonts w:ascii="宋体" w:hAnsi="宋体" w:eastAsia="宋体"/>
              </w:rPr>
            </w:pPr>
            <w:r>
              <w:rPr>
                <w:rFonts w:ascii="宋体" w:hAnsi="宋体" w:eastAsia="宋体"/>
              </w:rPr>
              <w:t xml:space="preserve">2.2.2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2"/>
              <w:rPr>
                <w:rFonts w:ascii="宋体" w:hAnsi="宋体" w:eastAsia="宋体"/>
              </w:rPr>
            </w:pPr>
            <w:r>
              <w:rPr>
                <w:rFonts w:ascii="宋体" w:hAnsi="宋体" w:eastAsia="宋体"/>
              </w:rPr>
              <w:t>资 格 评审标准</w:t>
            </w:r>
            <w:r>
              <w:rPr>
                <w:rFonts w:ascii="宋体" w:hAnsi="宋体" w:eastAsia="宋体"/>
                <w:b/>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营业执照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具备有效的营业执照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128"/>
              <w:rPr>
                <w:rFonts w:ascii="宋体" w:hAnsi="宋体" w:eastAsia="宋体"/>
              </w:rPr>
            </w:pPr>
            <w:r>
              <w:rPr>
                <w:rFonts w:ascii="宋体" w:hAnsi="宋体" w:eastAsia="宋体"/>
              </w:rPr>
              <w:t xml:space="preserve">安全生产许可证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具备有效的安全生产许可证 </w:t>
            </w:r>
          </w:p>
        </w:tc>
      </w:tr>
      <w:tr>
        <w:tblPrEx>
          <w:tblCellMar>
            <w:top w:w="87" w:type="dxa"/>
            <w:left w:w="106" w:type="dxa"/>
            <w:bottom w:w="0" w:type="dxa"/>
            <w:right w:w="0" w:type="dxa"/>
          </w:tblCellMar>
        </w:tblPrEx>
        <w:trPr>
          <w:trHeight w:val="109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jc w:val="center"/>
              <w:rPr>
                <w:rFonts w:ascii="宋体" w:hAnsi="宋体" w:eastAsia="宋体"/>
              </w:rPr>
            </w:pPr>
            <w:r>
              <w:rPr>
                <w:rFonts w:ascii="宋体" w:hAnsi="宋体" w:eastAsia="宋体"/>
              </w:rPr>
              <w:t xml:space="preserve">企业基本存款账户开户许可证或基本存款账户证明材料 </w:t>
            </w:r>
          </w:p>
        </w:tc>
        <w:tc>
          <w:tcPr>
            <w:tcW w:w="4875" w:type="dxa"/>
            <w:tcBorders>
              <w:top w:val="single" w:color="000000" w:sz="4" w:space="0"/>
              <w:left w:val="single" w:color="000000" w:sz="4" w:space="0"/>
              <w:bottom w:val="single" w:color="000000" w:sz="4" w:space="0"/>
              <w:right w:val="single" w:color="000000" w:sz="4" w:space="0"/>
            </w:tcBorders>
            <w:vAlign w:val="center"/>
          </w:tcPr>
          <w:p>
            <w:pPr>
              <w:spacing w:line="259" w:lineRule="auto"/>
              <w:rPr>
                <w:rFonts w:ascii="宋体" w:hAnsi="宋体" w:eastAsia="宋体"/>
              </w:rPr>
            </w:pPr>
            <w:r>
              <w:rPr>
                <w:rFonts w:ascii="宋体" w:hAnsi="宋体" w:eastAsia="宋体"/>
              </w:rPr>
              <w:t xml:space="preserve">具备企业基本存款账户开户许可证或基本存款账户证明材料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资质证书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具备有效的资质证书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资质等级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 1.4.1项规定 </w:t>
            </w:r>
          </w:p>
        </w:tc>
      </w:tr>
      <w:tr>
        <w:tblPrEx>
          <w:tblCellMar>
            <w:top w:w="87" w:type="dxa"/>
            <w:left w:w="106" w:type="dxa"/>
            <w:bottom w:w="0" w:type="dxa"/>
            <w:right w:w="0" w:type="dxa"/>
          </w:tblCellMar>
        </w:tblPrEx>
        <w:trPr>
          <w:trHeight w:val="372"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财务要求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业绩要求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符合第二章“投标人须知”第1.4.1项规定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信誉要求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128"/>
              <w:rPr>
                <w:rFonts w:ascii="宋体" w:hAnsi="宋体" w:eastAsia="宋体"/>
              </w:rPr>
            </w:pPr>
            <w:r>
              <w:rPr>
                <w:rFonts w:ascii="宋体" w:hAnsi="宋体" w:eastAsia="宋体"/>
              </w:rPr>
              <w:t xml:space="preserve">拟派项目负责人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233"/>
              <w:rPr>
                <w:rFonts w:ascii="宋体" w:hAnsi="宋体" w:eastAsia="宋体"/>
              </w:rPr>
            </w:pPr>
            <w:r>
              <w:rPr>
                <w:rFonts w:ascii="宋体" w:hAnsi="宋体" w:eastAsia="宋体"/>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 1.4.2项规定（如有）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其他要求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 1.4.1项规定 </w:t>
            </w:r>
          </w:p>
        </w:tc>
      </w:tr>
      <w:tr>
        <w:tblPrEx>
          <w:tblCellMar>
            <w:top w:w="87" w:type="dxa"/>
            <w:left w:w="106" w:type="dxa"/>
            <w:bottom w:w="0" w:type="dxa"/>
            <w:right w:w="0" w:type="dxa"/>
          </w:tblCellMar>
        </w:tblPrEx>
        <w:trPr>
          <w:trHeight w:val="732"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jc w:val="center"/>
              <w:rPr>
                <w:rFonts w:ascii="宋体" w:hAnsi="宋体" w:eastAsia="宋体"/>
              </w:rPr>
            </w:pPr>
            <w:r>
              <w:rPr>
                <w:rFonts w:ascii="宋体" w:hAnsi="宋体" w:eastAsia="宋体"/>
              </w:rPr>
              <w:t xml:space="preserve">不存在禁止投标的情形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不存在第二章“投标人须知”第1.4.3项规定的任何一种情形 </w:t>
            </w:r>
          </w:p>
        </w:tc>
      </w:tr>
      <w:tr>
        <w:tblPrEx>
          <w:tblCellMar>
            <w:top w:w="87" w:type="dxa"/>
            <w:left w:w="106" w:type="dxa"/>
            <w:bottom w:w="0" w:type="dxa"/>
            <w:right w:w="0" w:type="dxa"/>
          </w:tblCellMar>
        </w:tblPrEx>
        <w:trPr>
          <w:trHeight w:val="370" w:hRule="atLeast"/>
        </w:trPr>
        <w:tc>
          <w:tcPr>
            <w:tcW w:w="8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62"/>
              <w:rPr>
                <w:rFonts w:ascii="宋体" w:hAnsi="宋体" w:eastAsia="宋体"/>
              </w:rPr>
            </w:pPr>
            <w:r>
              <w:rPr>
                <w:rFonts w:ascii="宋体" w:hAnsi="宋体" w:eastAsia="宋体"/>
              </w:rPr>
              <w:t xml:space="preserve">2.2.3 </w:t>
            </w:r>
          </w:p>
        </w:tc>
        <w:tc>
          <w:tcPr>
            <w:tcW w:w="1020" w:type="dxa"/>
            <w:vMerge w:val="restart"/>
            <w:tcBorders>
              <w:top w:val="single" w:color="000000" w:sz="4" w:space="0"/>
              <w:left w:val="single" w:color="000000" w:sz="4" w:space="0"/>
              <w:bottom w:val="single" w:color="000000" w:sz="4" w:space="0"/>
              <w:right w:val="single" w:color="000000" w:sz="4" w:space="0"/>
            </w:tcBorders>
          </w:tcPr>
          <w:p>
            <w:pPr>
              <w:spacing w:line="259" w:lineRule="auto"/>
              <w:ind w:left="2"/>
              <w:rPr>
                <w:rFonts w:ascii="宋体" w:hAnsi="宋体" w:eastAsia="宋体"/>
              </w:rPr>
            </w:pPr>
            <w:r>
              <w:rPr>
                <w:rFonts w:ascii="宋体" w:hAnsi="宋体" w:eastAsia="宋体"/>
              </w:rPr>
              <w:t>响应性评审</w:t>
            </w:r>
            <w:r>
              <w:rPr>
                <w:rFonts w:ascii="宋体" w:hAnsi="宋体" w:eastAsia="宋体"/>
                <w:b/>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投标内容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符合第二章“投标人须知”第1.3.1项规定 </w:t>
            </w:r>
          </w:p>
        </w:tc>
      </w:tr>
      <w:tr>
        <w:tblPrEx>
          <w:tblCellMar>
            <w:top w:w="87"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10"/>
              <w:jc w:val="center"/>
              <w:rPr>
                <w:rFonts w:ascii="宋体" w:hAnsi="宋体" w:eastAsia="宋体"/>
              </w:rPr>
            </w:pPr>
            <w:r>
              <w:rPr>
                <w:rFonts w:ascii="宋体" w:hAnsi="宋体" w:eastAsia="宋体"/>
              </w:rPr>
              <w:t xml:space="preserve">工期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投标函附录中载明的工期符合第二章“投标人须知”</w:t>
            </w:r>
          </w:p>
        </w:tc>
      </w:tr>
      <w:tr>
        <w:tblPrEx>
          <w:tblCellMar>
            <w:top w:w="89" w:type="dxa"/>
            <w:left w:w="106" w:type="dxa"/>
            <w:bottom w:w="0" w:type="dxa"/>
            <w:right w:w="0" w:type="dxa"/>
          </w:tblCellMar>
        </w:tblPrEx>
        <w:trPr>
          <w:trHeight w:val="370" w:hRule="atLeast"/>
        </w:trPr>
        <w:tc>
          <w:tcPr>
            <w:tcW w:w="864" w:type="dxa"/>
            <w:gridSpan w:val="2"/>
            <w:vMerge w:val="restart"/>
            <w:tcBorders>
              <w:top w:val="single" w:color="000000" w:sz="4" w:space="0"/>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1020" w:type="dxa"/>
            <w:vMerge w:val="restart"/>
            <w:tcBorders>
              <w:top w:val="single" w:color="000000" w:sz="4" w:space="0"/>
              <w:left w:val="single" w:color="000000" w:sz="4" w:space="0"/>
              <w:bottom w:val="single" w:color="000000" w:sz="4" w:space="0"/>
              <w:right w:val="single" w:color="000000" w:sz="4" w:space="0"/>
            </w:tcBorders>
          </w:tcPr>
          <w:p>
            <w:pPr>
              <w:spacing w:line="259" w:lineRule="auto"/>
              <w:ind w:left="2"/>
              <w:rPr>
                <w:rFonts w:ascii="宋体" w:hAnsi="宋体" w:eastAsia="宋体"/>
              </w:rPr>
            </w:pPr>
            <w:r>
              <w:rPr>
                <w:rFonts w:ascii="宋体" w:hAnsi="宋体" w:eastAsia="宋体"/>
              </w:rPr>
              <w:t xml:space="preserve">标准 </w:t>
            </w:r>
          </w:p>
        </w:tc>
        <w:tc>
          <w:tcPr>
            <w:tcW w:w="1945" w:type="dxa"/>
            <w:gridSpan w:val="2"/>
            <w:tcBorders>
              <w:top w:val="single" w:color="000000" w:sz="4" w:space="0"/>
              <w:left w:val="single" w:color="000000" w:sz="4" w:space="0"/>
              <w:bottom w:val="single" w:color="000000" w:sz="4" w:space="0"/>
              <w:right w:val="single" w:color="000000" w:sz="4" w:space="0"/>
            </w:tcBorders>
            <w:vAlign w:val="bottom"/>
          </w:tcPr>
          <w:p>
            <w:pPr>
              <w:spacing w:after="160" w:line="259" w:lineRule="auto"/>
              <w:rPr>
                <w:rFonts w:ascii="宋体" w:hAnsi="宋体" w:eastAsia="宋体"/>
              </w:rPr>
            </w:pP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第1.3.2项规定 </w:t>
            </w:r>
          </w:p>
        </w:tc>
      </w:tr>
      <w:tr>
        <w:tblPrEx>
          <w:tblCellMar>
            <w:top w:w="89" w:type="dxa"/>
            <w:left w:w="106" w:type="dxa"/>
            <w:bottom w:w="0" w:type="dxa"/>
            <w:right w:w="0" w:type="dxa"/>
          </w:tblCellMar>
        </w:tblPrEx>
        <w:trPr>
          <w:trHeight w:val="73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right="107"/>
              <w:jc w:val="center"/>
              <w:rPr>
                <w:rFonts w:ascii="宋体" w:hAnsi="宋体" w:eastAsia="宋体"/>
              </w:rPr>
            </w:pPr>
            <w:r>
              <w:rPr>
                <w:rFonts w:ascii="宋体" w:hAnsi="宋体" w:eastAsia="宋体"/>
              </w:rPr>
              <w:t xml:space="preserve">工程质量 </w:t>
            </w:r>
          </w:p>
        </w:tc>
        <w:tc>
          <w:tcPr>
            <w:tcW w:w="4875" w:type="dxa"/>
            <w:tcBorders>
              <w:top w:val="single" w:color="000000" w:sz="4" w:space="0"/>
              <w:left w:val="single" w:color="000000" w:sz="4" w:space="0"/>
              <w:bottom w:val="single" w:color="000000" w:sz="4" w:space="0"/>
              <w:right w:val="single" w:color="000000" w:sz="4" w:space="0"/>
            </w:tcBorders>
          </w:tcPr>
          <w:p>
            <w:pPr>
              <w:spacing w:after="63" w:line="259" w:lineRule="auto"/>
              <w:rPr>
                <w:rFonts w:ascii="宋体" w:hAnsi="宋体" w:eastAsia="宋体"/>
              </w:rPr>
            </w:pPr>
            <w:r>
              <w:rPr>
                <w:rFonts w:ascii="宋体" w:hAnsi="宋体" w:eastAsia="宋体"/>
              </w:rPr>
              <w:t>投标函中载明的质量符合第二章“投标人须知”第</w:t>
            </w:r>
          </w:p>
          <w:p>
            <w:pPr>
              <w:spacing w:line="259" w:lineRule="auto"/>
              <w:rPr>
                <w:rFonts w:ascii="宋体" w:hAnsi="宋体" w:eastAsia="宋体"/>
              </w:rPr>
            </w:pPr>
            <w:r>
              <w:rPr>
                <w:rFonts w:ascii="宋体" w:hAnsi="宋体" w:eastAsia="宋体"/>
              </w:rPr>
              <w:t xml:space="preserve">1.3.3项规定 </w:t>
            </w:r>
          </w:p>
        </w:tc>
      </w:tr>
      <w:tr>
        <w:tblPrEx>
          <w:tblCellMar>
            <w:top w:w="89" w:type="dxa"/>
            <w:left w:w="106" w:type="dxa"/>
            <w:bottom w:w="0" w:type="dxa"/>
            <w:right w:w="0" w:type="dxa"/>
          </w:tblCellMar>
        </w:tblPrEx>
        <w:trPr>
          <w:trHeight w:val="372"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投标有效期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符合第二章“投标人须知”第3.3.1项规定 </w:t>
            </w:r>
          </w:p>
        </w:tc>
      </w:tr>
      <w:tr>
        <w:tblPrEx>
          <w:tblCellMar>
            <w:top w:w="89"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投标报价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符合第一章“投标人须知前附表”第</w:t>
            </w:r>
            <w:r>
              <w:rPr>
                <w:rFonts w:hint="eastAsia" w:ascii="宋体" w:hAnsi="宋体" w:eastAsia="宋体"/>
              </w:rPr>
              <w:t>3.3.3</w:t>
            </w:r>
            <w:r>
              <w:rPr>
                <w:rFonts w:ascii="宋体" w:hAnsi="宋体" w:eastAsia="宋体"/>
              </w:rPr>
              <w:t xml:space="preserve">项规定 </w:t>
            </w:r>
          </w:p>
        </w:tc>
      </w:tr>
      <w:tr>
        <w:tblPrEx>
          <w:tblCellMar>
            <w:top w:w="89"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128"/>
              <w:rPr>
                <w:rFonts w:ascii="宋体" w:hAnsi="宋体" w:eastAsia="宋体"/>
              </w:rPr>
            </w:pPr>
            <w:r>
              <w:rPr>
                <w:rFonts w:ascii="宋体" w:hAnsi="宋体" w:eastAsia="宋体"/>
              </w:rPr>
              <w:t xml:space="preserve">技术标准和要求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符合第七章“技术标准和要求”规定 </w:t>
            </w:r>
          </w:p>
        </w:tc>
      </w:tr>
      <w:tr>
        <w:tblPrEx>
          <w:tblCellMar>
            <w:top w:w="89"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nil"/>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07"/>
              <w:jc w:val="center"/>
              <w:rPr>
                <w:rFonts w:ascii="宋体" w:hAnsi="宋体" w:eastAsia="宋体"/>
              </w:rPr>
            </w:pPr>
            <w:r>
              <w:rPr>
                <w:rFonts w:ascii="宋体" w:hAnsi="宋体" w:eastAsia="宋体"/>
              </w:rPr>
              <w:t xml:space="preserve">分包计划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符合第二章“投标人须知”第1.10项规定（如有） </w:t>
            </w:r>
          </w:p>
        </w:tc>
      </w:tr>
      <w:tr>
        <w:tblPrEx>
          <w:tblCellMar>
            <w:top w:w="89" w:type="dxa"/>
            <w:left w:w="106" w:type="dxa"/>
            <w:bottom w:w="0" w:type="dxa"/>
            <w:right w:w="0" w:type="dxa"/>
          </w:tblCellMar>
        </w:tblPrEx>
        <w:trPr>
          <w:trHeight w:val="370" w:hRule="atLeast"/>
        </w:trPr>
        <w:tc>
          <w:tcPr>
            <w:tcW w:w="0" w:type="auto"/>
            <w:gridSpan w:val="2"/>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rPr>
                <w:rFonts w:ascii="宋体" w:hAnsi="宋体" w:eastAsia="宋体"/>
              </w:rPr>
            </w:pP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left="128"/>
              <w:rPr>
                <w:rFonts w:ascii="宋体" w:hAnsi="宋体" w:eastAsia="宋体"/>
              </w:rPr>
            </w:pPr>
            <w:r>
              <w:rPr>
                <w:rFonts w:ascii="宋体" w:hAnsi="宋体" w:eastAsia="宋体"/>
              </w:rPr>
              <w:t xml:space="preserve">诚信投标承诺书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 xml:space="preserve">符合招标文件要求 </w:t>
            </w:r>
          </w:p>
        </w:tc>
      </w:tr>
      <w:tr>
        <w:tblPrEx>
          <w:tblCellMar>
            <w:top w:w="89" w:type="dxa"/>
            <w:left w:w="106" w:type="dxa"/>
            <w:bottom w:w="0" w:type="dxa"/>
            <w:right w:w="0" w:type="dxa"/>
          </w:tblCellMar>
        </w:tblPrEx>
        <w:trPr>
          <w:trHeight w:val="372" w:hRule="atLeast"/>
        </w:trPr>
        <w:tc>
          <w:tcPr>
            <w:tcW w:w="1884" w:type="dxa"/>
            <w:gridSpan w:val="3"/>
            <w:tcBorders>
              <w:top w:val="single" w:color="000000" w:sz="4" w:space="0"/>
              <w:left w:val="single" w:color="000000" w:sz="4" w:space="0"/>
              <w:bottom w:val="single" w:color="000000" w:sz="4" w:space="0"/>
              <w:right w:val="nil"/>
            </w:tcBorders>
          </w:tcPr>
          <w:p>
            <w:pPr>
              <w:spacing w:after="160" w:line="259" w:lineRule="auto"/>
              <w:rPr>
                <w:rFonts w:ascii="宋体" w:hAnsi="宋体" w:eastAsia="宋体"/>
              </w:rPr>
            </w:pPr>
          </w:p>
        </w:tc>
        <w:tc>
          <w:tcPr>
            <w:tcW w:w="6820" w:type="dxa"/>
            <w:gridSpan w:val="3"/>
            <w:tcBorders>
              <w:top w:val="single" w:color="000000" w:sz="4" w:space="0"/>
              <w:left w:val="nil"/>
              <w:bottom w:val="single" w:color="000000" w:sz="4" w:space="0"/>
              <w:right w:val="single" w:color="000000" w:sz="4" w:space="0"/>
            </w:tcBorders>
          </w:tcPr>
          <w:p>
            <w:pPr>
              <w:spacing w:line="259" w:lineRule="auto"/>
              <w:ind w:left="1880"/>
              <w:rPr>
                <w:rFonts w:ascii="宋体" w:hAnsi="宋体" w:eastAsia="宋体"/>
              </w:rPr>
            </w:pPr>
            <w:r>
              <w:rPr>
                <w:rFonts w:ascii="宋体" w:hAnsi="宋体" w:eastAsia="宋体"/>
                <w:sz w:val="24"/>
              </w:rPr>
              <w:t xml:space="preserve">详细评审 </w:t>
            </w:r>
          </w:p>
        </w:tc>
      </w:tr>
      <w:tr>
        <w:tblPrEx>
          <w:tblCellMar>
            <w:top w:w="89" w:type="dxa"/>
            <w:left w:w="106" w:type="dxa"/>
            <w:bottom w:w="0" w:type="dxa"/>
            <w:right w:w="0" w:type="dxa"/>
          </w:tblCellMar>
        </w:tblPrEx>
        <w:trPr>
          <w:trHeight w:val="370" w:hRule="atLeast"/>
        </w:trPr>
        <w:tc>
          <w:tcPr>
            <w:tcW w:w="1884" w:type="dxa"/>
            <w:gridSpan w:val="3"/>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条款号</w:t>
            </w:r>
            <w:r>
              <w:rPr>
                <w:rFonts w:ascii="宋体" w:hAnsi="宋体" w:eastAsia="宋体"/>
                <w:b/>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tcPr>
          <w:p>
            <w:pPr>
              <w:spacing w:line="259" w:lineRule="auto"/>
              <w:ind w:right="110"/>
              <w:jc w:val="center"/>
              <w:rPr>
                <w:rFonts w:ascii="宋体" w:hAnsi="宋体" w:eastAsia="宋体"/>
              </w:rPr>
            </w:pPr>
            <w:r>
              <w:rPr>
                <w:rFonts w:ascii="宋体" w:hAnsi="宋体" w:eastAsia="宋体"/>
              </w:rPr>
              <w:t>条款内容</w:t>
            </w:r>
            <w:r>
              <w:rPr>
                <w:rFonts w:ascii="宋体" w:hAnsi="宋体" w:eastAsia="宋体"/>
                <w:b/>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编列内容</w:t>
            </w:r>
            <w:r>
              <w:rPr>
                <w:rFonts w:ascii="宋体" w:hAnsi="宋体" w:eastAsia="宋体"/>
                <w:b/>
              </w:rPr>
              <w:t xml:space="preserve"> </w:t>
            </w:r>
          </w:p>
        </w:tc>
      </w:tr>
      <w:tr>
        <w:tblPrEx>
          <w:tblCellMar>
            <w:top w:w="89" w:type="dxa"/>
            <w:left w:w="106" w:type="dxa"/>
            <w:bottom w:w="0" w:type="dxa"/>
            <w:right w:w="0" w:type="dxa"/>
          </w:tblCellMar>
        </w:tblPrEx>
        <w:trPr>
          <w:trHeight w:val="2114" w:hRule="atLeast"/>
        </w:trPr>
        <w:tc>
          <w:tcPr>
            <w:tcW w:w="1884"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left="2"/>
              <w:rPr>
                <w:rFonts w:ascii="宋体" w:hAnsi="宋体" w:eastAsia="宋体"/>
              </w:rPr>
            </w:pPr>
            <w:r>
              <w:rPr>
                <w:rFonts w:ascii="宋体" w:hAnsi="宋体" w:eastAsia="宋体"/>
              </w:rPr>
              <w:t xml:space="preserve">2.3.1 </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spacing w:after="63" w:line="259" w:lineRule="auto"/>
              <w:ind w:left="1"/>
              <w:rPr>
                <w:rFonts w:ascii="宋体" w:hAnsi="宋体" w:eastAsia="宋体"/>
              </w:rPr>
            </w:pPr>
            <w:r>
              <w:rPr>
                <w:rFonts w:ascii="宋体" w:hAnsi="宋体" w:eastAsia="宋体"/>
              </w:rPr>
              <w:t xml:space="preserve">分值构成 </w:t>
            </w:r>
          </w:p>
          <w:p>
            <w:pPr>
              <w:spacing w:line="259" w:lineRule="auto"/>
              <w:ind w:left="1"/>
              <w:rPr>
                <w:rFonts w:ascii="宋体" w:hAnsi="宋体" w:eastAsia="宋体"/>
              </w:rPr>
            </w:pPr>
            <w:r>
              <w:rPr>
                <w:rFonts w:ascii="宋体" w:hAnsi="宋体" w:eastAsia="宋体"/>
              </w:rPr>
              <w:t xml:space="preserve">(总分100分) </w:t>
            </w:r>
          </w:p>
        </w:tc>
        <w:tc>
          <w:tcPr>
            <w:tcW w:w="4875" w:type="dxa"/>
            <w:tcBorders>
              <w:top w:val="single" w:color="000000" w:sz="4" w:space="0"/>
              <w:left w:val="single" w:color="000000" w:sz="4" w:space="0"/>
              <w:bottom w:val="single" w:color="000000" w:sz="4" w:space="0"/>
              <w:right w:val="single" w:color="000000" w:sz="4" w:space="0"/>
            </w:tcBorders>
          </w:tcPr>
          <w:p>
            <w:pPr>
              <w:widowControl/>
              <w:numPr>
                <w:ilvl w:val="0"/>
                <w:numId w:val="2"/>
              </w:numPr>
              <w:spacing w:after="86" w:line="259" w:lineRule="auto"/>
              <w:ind w:hanging="276"/>
              <w:jc w:val="left"/>
              <w:rPr>
                <w:rFonts w:ascii="宋体" w:hAnsi="宋体" w:eastAsia="宋体"/>
              </w:rPr>
            </w:pPr>
            <w:r>
              <w:rPr>
                <w:rFonts w:hint="eastAsia" w:ascii="宋体" w:hAnsi="宋体" w:eastAsia="宋体"/>
              </w:rPr>
              <w:t>投标报价</w:t>
            </w:r>
            <w:r>
              <w:rPr>
                <w:rFonts w:ascii="宋体" w:hAnsi="宋体" w:eastAsia="宋体"/>
              </w:rPr>
              <w:t xml:space="preserve">：60分 </w:t>
            </w:r>
          </w:p>
          <w:p>
            <w:pPr>
              <w:widowControl/>
              <w:numPr>
                <w:ilvl w:val="0"/>
                <w:numId w:val="2"/>
              </w:numPr>
              <w:spacing w:after="86" w:line="259" w:lineRule="auto"/>
              <w:ind w:hanging="276"/>
              <w:jc w:val="left"/>
              <w:rPr>
                <w:rFonts w:ascii="宋体" w:hAnsi="宋体" w:eastAsia="宋体"/>
              </w:rPr>
            </w:pPr>
            <w:r>
              <w:rPr>
                <w:rFonts w:hint="eastAsia" w:ascii="宋体" w:hAnsi="宋体" w:eastAsia="宋体"/>
              </w:rPr>
              <w:t>项目经理、技术负责人的素质、经历和经验:</w:t>
            </w:r>
            <w:r>
              <w:rPr>
                <w:rFonts w:ascii="宋体" w:hAnsi="宋体" w:eastAsia="宋体"/>
              </w:rPr>
              <w:t>8</w:t>
            </w:r>
            <w:r>
              <w:rPr>
                <w:rFonts w:hint="eastAsia" w:ascii="宋体" w:hAnsi="宋体" w:eastAsia="宋体"/>
              </w:rPr>
              <w:t>分</w:t>
            </w:r>
          </w:p>
          <w:p>
            <w:pPr>
              <w:widowControl/>
              <w:numPr>
                <w:ilvl w:val="0"/>
                <w:numId w:val="2"/>
              </w:numPr>
              <w:spacing w:after="86" w:line="259" w:lineRule="auto"/>
              <w:ind w:hanging="276"/>
              <w:jc w:val="left"/>
              <w:rPr>
                <w:rFonts w:ascii="宋体" w:hAnsi="宋体" w:eastAsia="宋体"/>
              </w:rPr>
            </w:pPr>
            <w:r>
              <w:rPr>
                <w:rFonts w:ascii="宋体" w:hAnsi="宋体" w:eastAsia="宋体"/>
              </w:rPr>
              <w:t>施工组织设计：</w:t>
            </w:r>
            <w:r>
              <w:rPr>
                <w:rFonts w:hint="eastAsia" w:ascii="宋体" w:hAnsi="宋体" w:eastAsia="宋体"/>
              </w:rPr>
              <w:t>3</w:t>
            </w:r>
            <w:r>
              <w:rPr>
                <w:rFonts w:ascii="宋体" w:hAnsi="宋体" w:eastAsia="宋体"/>
              </w:rPr>
              <w:t>2</w:t>
            </w:r>
            <w:r>
              <w:rPr>
                <w:rFonts w:hint="eastAsia" w:ascii="宋体" w:hAnsi="宋体" w:eastAsia="宋体"/>
              </w:rPr>
              <w:t>分</w:t>
            </w:r>
          </w:p>
          <w:p>
            <w:pPr>
              <w:widowControl/>
              <w:spacing w:after="86" w:line="259" w:lineRule="auto"/>
              <w:jc w:val="left"/>
              <w:rPr>
                <w:rFonts w:ascii="宋体" w:hAnsi="宋体" w:eastAsia="宋体"/>
              </w:rPr>
            </w:pPr>
          </w:p>
        </w:tc>
      </w:tr>
      <w:tr>
        <w:tblPrEx>
          <w:tblCellMar>
            <w:top w:w="89" w:type="dxa"/>
            <w:left w:w="106" w:type="dxa"/>
            <w:bottom w:w="0" w:type="dxa"/>
            <w:right w:w="0" w:type="dxa"/>
          </w:tblCellMar>
        </w:tblPrEx>
        <w:trPr>
          <w:trHeight w:val="752" w:hRule="atLeast"/>
        </w:trPr>
        <w:tc>
          <w:tcPr>
            <w:tcW w:w="1884"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left="2"/>
              <w:rPr>
                <w:rFonts w:ascii="宋体" w:hAnsi="宋体" w:eastAsia="宋体"/>
              </w:rPr>
            </w:pPr>
            <w:r>
              <w:rPr>
                <w:rFonts w:ascii="宋体" w:hAnsi="宋体" w:eastAsia="宋体"/>
              </w:rPr>
              <w:t xml:space="preserve">2.3.2 </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1"/>
              <w:rPr>
                <w:rFonts w:ascii="宋体" w:hAnsi="宋体" w:eastAsia="宋体"/>
              </w:rPr>
            </w:pPr>
            <w:r>
              <w:rPr>
                <w:rFonts w:ascii="宋体" w:hAnsi="宋体" w:eastAsia="宋体"/>
              </w:rPr>
              <w:t xml:space="preserve">评标基准价计算方法 </w:t>
            </w:r>
          </w:p>
        </w:tc>
        <w:tc>
          <w:tcPr>
            <w:tcW w:w="48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00" w:lineRule="exact"/>
              <w:ind w:firstLine="480"/>
              <w:rPr>
                <w:rFonts w:ascii="宋体" w:hAnsi="宋体" w:eastAsia="宋体"/>
                <w:b/>
              </w:rPr>
            </w:pPr>
            <w:r>
              <w:rPr>
                <w:rFonts w:ascii="宋体" w:hAnsi="宋体" w:eastAsia="宋体"/>
                <w:b/>
              </w:rPr>
              <w:t>以有效投标文件的投标报价的</w:t>
            </w:r>
            <w:r>
              <w:rPr>
                <w:rFonts w:hint="eastAsia" w:ascii="宋体" w:hAnsi="宋体" w:eastAsia="宋体"/>
                <w:b/>
              </w:rPr>
              <w:t>平均价</w:t>
            </w:r>
            <w:r>
              <w:rPr>
                <w:rFonts w:ascii="宋体" w:hAnsi="宋体" w:eastAsia="宋体"/>
                <w:b/>
              </w:rPr>
              <w:t xml:space="preserve">为评标基准价。 </w:t>
            </w:r>
          </w:p>
          <w:p>
            <w:pPr>
              <w:autoSpaceDE w:val="0"/>
              <w:autoSpaceDN w:val="0"/>
              <w:adjustRightInd w:val="0"/>
              <w:spacing w:line="400" w:lineRule="exact"/>
              <w:ind w:firstLine="480"/>
              <w:rPr>
                <w:rFonts w:ascii="宋体" w:hAnsi="宋体" w:eastAsia="宋体"/>
              </w:rPr>
            </w:pPr>
            <w:r>
              <w:rPr>
                <w:rFonts w:ascii="宋体" w:hAnsi="宋体" w:eastAsia="宋体"/>
              </w:rPr>
              <w:t xml:space="preserve">说明： </w:t>
            </w:r>
          </w:p>
          <w:p>
            <w:pPr>
              <w:autoSpaceDE w:val="0"/>
              <w:autoSpaceDN w:val="0"/>
              <w:adjustRightInd w:val="0"/>
              <w:spacing w:line="400" w:lineRule="exact"/>
              <w:ind w:firstLine="480"/>
              <w:rPr>
                <w:rFonts w:ascii="宋体" w:hAnsi="宋体" w:eastAsia="宋体"/>
              </w:rPr>
            </w:pPr>
            <w:r>
              <w:rPr>
                <w:rFonts w:ascii="宋体" w:hAnsi="宋体" w:eastAsia="宋体"/>
              </w:rPr>
              <w:t>1.投标报价指经澄清、补正和修正算术计算错误的 报价；</w:t>
            </w:r>
          </w:p>
          <w:p>
            <w:pPr>
              <w:autoSpaceDE w:val="0"/>
              <w:autoSpaceDN w:val="0"/>
              <w:adjustRightInd w:val="0"/>
              <w:spacing w:line="400" w:lineRule="exact"/>
              <w:ind w:firstLine="480"/>
              <w:rPr>
                <w:rFonts w:ascii="宋体" w:hAnsi="宋体" w:eastAsia="宋体"/>
              </w:rPr>
            </w:pPr>
            <w:r>
              <w:rPr>
                <w:rFonts w:ascii="宋体" w:hAnsi="宋体" w:eastAsia="宋体"/>
              </w:rPr>
              <w:t xml:space="preserve"> 2.有效投标文件是指未被评标委员会判定为无效标的投标文件。</w:t>
            </w:r>
          </w:p>
        </w:tc>
      </w:tr>
      <w:tr>
        <w:tblPrEx>
          <w:tblCellMar>
            <w:top w:w="89" w:type="dxa"/>
            <w:left w:w="106" w:type="dxa"/>
            <w:bottom w:w="0" w:type="dxa"/>
            <w:right w:w="0" w:type="dxa"/>
          </w:tblCellMar>
        </w:tblPrEx>
        <w:trPr>
          <w:trHeight w:val="1247" w:hRule="atLeast"/>
        </w:trPr>
        <w:tc>
          <w:tcPr>
            <w:tcW w:w="864" w:type="dxa"/>
            <w:gridSpan w:val="2"/>
            <w:tcBorders>
              <w:top w:val="single" w:color="000000" w:sz="4" w:space="0"/>
              <w:left w:val="single" w:color="000000" w:sz="4" w:space="0"/>
              <w:bottom w:val="single" w:color="000000" w:sz="4" w:space="0"/>
              <w:right w:val="single" w:color="000000" w:sz="4" w:space="0"/>
            </w:tcBorders>
            <w:vAlign w:val="center"/>
          </w:tcPr>
          <w:p>
            <w:pPr>
              <w:spacing w:after="64" w:line="259" w:lineRule="auto"/>
              <w:ind w:left="2"/>
              <w:rPr>
                <w:rFonts w:ascii="宋体" w:hAnsi="宋体" w:eastAsia="宋体"/>
              </w:rPr>
            </w:pPr>
            <w:r>
              <w:rPr>
                <w:rFonts w:ascii="宋体" w:hAnsi="宋体" w:eastAsia="宋体"/>
              </w:rPr>
              <w:t>2.3</w:t>
            </w:r>
            <w:r>
              <w:rPr>
                <w:rFonts w:hint="eastAsia" w:ascii="宋体" w:hAnsi="宋体" w:eastAsia="宋体"/>
              </w:rPr>
              <w:t>.3</w:t>
            </w:r>
            <w:r>
              <w:rPr>
                <w:rFonts w:ascii="宋体" w:hAnsi="宋体" w:eastAsia="宋体"/>
              </w:rPr>
              <w:t xml:space="preserve">  </w:t>
            </w:r>
          </w:p>
        </w:tc>
        <w:tc>
          <w:tcPr>
            <w:tcW w:w="2965"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宋体" w:hAnsi="宋体" w:eastAsia="宋体"/>
              </w:rPr>
            </w:pPr>
            <w:r>
              <w:rPr>
                <w:rFonts w:ascii="宋体" w:hAnsi="宋体" w:eastAsia="宋体"/>
              </w:rPr>
              <w:t>投标报价（60分）</w:t>
            </w:r>
          </w:p>
        </w:tc>
        <w:tc>
          <w:tcPr>
            <w:tcW w:w="4875" w:type="dxa"/>
            <w:tcBorders>
              <w:top w:val="single" w:color="000000" w:sz="4" w:space="0"/>
              <w:left w:val="single" w:color="000000" w:sz="4" w:space="0"/>
              <w:bottom w:val="single" w:color="000000" w:sz="4" w:space="0"/>
              <w:right w:val="single" w:color="000000" w:sz="4" w:space="0"/>
            </w:tcBorders>
          </w:tcPr>
          <w:p>
            <w:pPr>
              <w:spacing w:line="259" w:lineRule="auto"/>
              <w:rPr>
                <w:rFonts w:ascii="宋体" w:hAnsi="宋体" w:eastAsia="宋体"/>
              </w:rPr>
            </w:pPr>
            <w:r>
              <w:rPr>
                <w:rFonts w:ascii="宋体" w:hAnsi="宋体" w:eastAsia="宋体"/>
              </w:rPr>
              <w:t>评标基准价的计算：</w:t>
            </w:r>
          </w:p>
          <w:p>
            <w:pPr>
              <w:spacing w:line="259" w:lineRule="auto"/>
              <w:rPr>
                <w:rFonts w:ascii="宋体" w:hAnsi="宋体" w:eastAsia="宋体"/>
              </w:rPr>
            </w:pPr>
            <w:r>
              <w:rPr>
                <w:rFonts w:ascii="宋体" w:hAnsi="宋体" w:eastAsia="宋体"/>
              </w:rPr>
              <w:t xml:space="preserve"> 在开标现场，招标人将当场计算并宣布评标基准价 (1)评标价的确定：</w:t>
            </w:r>
          </w:p>
          <w:p>
            <w:pPr>
              <w:spacing w:line="259" w:lineRule="auto"/>
              <w:rPr>
                <w:rFonts w:ascii="宋体" w:hAnsi="宋体" w:eastAsia="宋体"/>
              </w:rPr>
            </w:pPr>
            <w:r>
              <w:rPr>
                <w:rFonts w:ascii="宋体" w:hAnsi="宋体" w:eastAsia="宋体"/>
              </w:rPr>
              <w:t xml:space="preserve"> 评标价=投标函文字报价-0（招标代理服务费）-0（公证费）- 0（暂列金）-0（其他不可竞争费）</w:t>
            </w:r>
          </w:p>
          <w:p>
            <w:pPr>
              <w:spacing w:line="259" w:lineRule="auto"/>
              <w:rPr>
                <w:rFonts w:ascii="宋体" w:hAnsi="宋体" w:eastAsia="宋体"/>
              </w:rPr>
            </w:pPr>
            <w:r>
              <w:rPr>
                <w:rFonts w:ascii="宋体" w:hAnsi="宋体" w:eastAsia="宋体"/>
              </w:rPr>
              <w:t xml:space="preserve"> 投标报价=清单小计+0（招标代理服务费）+0（公证费）+0（暂列金）+0（其他不可竞争费）</w:t>
            </w:r>
          </w:p>
          <w:p>
            <w:pPr>
              <w:spacing w:line="259" w:lineRule="auto"/>
              <w:rPr>
                <w:rFonts w:ascii="宋体" w:hAnsi="宋体" w:eastAsia="宋体"/>
              </w:rPr>
            </w:pPr>
            <w:r>
              <w:rPr>
                <w:rFonts w:hint="eastAsia" w:ascii="宋体" w:hAnsi="宋体" w:eastAsia="宋体"/>
              </w:rPr>
              <w:t>(2)评标价平均值的计算:</w:t>
            </w:r>
          </w:p>
          <w:p>
            <w:pPr>
              <w:spacing w:line="259" w:lineRule="auto"/>
              <w:rPr>
                <w:rFonts w:ascii="宋体" w:hAnsi="宋体" w:eastAsia="宋体"/>
              </w:rPr>
            </w:pPr>
            <w:r>
              <w:rPr>
                <w:rFonts w:hint="eastAsia" w:ascii="宋体" w:hAnsi="宋体" w:eastAsia="宋体"/>
              </w:rPr>
              <w:t>除按第二章“投标人须知”第5.2.2项规定开标现场被宣布被否决其投标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259" w:lineRule="auto"/>
              <w:rPr>
                <w:rFonts w:ascii="宋体" w:hAnsi="宋体" w:eastAsia="宋体"/>
              </w:rPr>
            </w:pPr>
            <w:r>
              <w:rPr>
                <w:rFonts w:hint="eastAsia" w:ascii="宋体" w:hAnsi="宋体" w:eastAsia="宋体"/>
              </w:rPr>
              <w:t>(3)评标基准价的确定:</w:t>
            </w:r>
          </w:p>
          <w:p>
            <w:pPr>
              <w:spacing w:line="259" w:lineRule="auto"/>
              <w:rPr>
                <w:rFonts w:ascii="宋体" w:hAnsi="宋体" w:eastAsia="宋体"/>
              </w:rPr>
            </w:pPr>
            <w:r>
              <w:rPr>
                <w:rFonts w:hint="eastAsia" w:ascii="宋体" w:hAnsi="宋体" w:eastAsia="宋体"/>
              </w:rPr>
              <w:t>评标价平均值直接作为评标基准价。</w:t>
            </w:r>
          </w:p>
          <w:p>
            <w:pPr>
              <w:spacing w:line="259" w:lineRule="auto"/>
              <w:rPr>
                <w:rFonts w:ascii="宋体" w:hAnsi="宋体" w:eastAsia="宋体"/>
              </w:rPr>
            </w:pPr>
            <w:r>
              <w:rPr>
                <w:rFonts w:hint="eastAsia" w:ascii="宋体" w:hAnsi="宋体" w:eastAsia="宋体"/>
              </w:rPr>
              <w:t>2、评标价的偏差率计算公式</w:t>
            </w:r>
          </w:p>
          <w:p>
            <w:pPr>
              <w:spacing w:line="259" w:lineRule="auto"/>
              <w:rPr>
                <w:rFonts w:ascii="宋体" w:hAnsi="宋体" w:eastAsia="宋体"/>
              </w:rPr>
            </w:pPr>
            <w:r>
              <w:rPr>
                <w:rFonts w:hint="eastAsia" w:ascii="宋体" w:hAnsi="宋体" w:eastAsia="宋体"/>
              </w:rPr>
              <w:t>偏差率=100%x(投标人评标价-评标基准价)/评标基准价</w:t>
            </w:r>
          </w:p>
          <w:p>
            <w:pPr>
              <w:spacing w:line="259" w:lineRule="auto"/>
              <w:rPr>
                <w:rFonts w:ascii="宋体" w:hAnsi="宋体" w:eastAsia="宋体"/>
              </w:rPr>
            </w:pPr>
            <w:r>
              <w:rPr>
                <w:rFonts w:hint="eastAsia" w:ascii="宋体" w:hAnsi="宋体" w:eastAsia="宋体"/>
              </w:rPr>
              <w:t>3、投标报价评分标准</w:t>
            </w:r>
          </w:p>
          <w:p>
            <w:pPr>
              <w:spacing w:line="259" w:lineRule="auto"/>
              <w:rPr>
                <w:rFonts w:ascii="宋体" w:hAnsi="宋体" w:eastAsia="宋体"/>
              </w:rPr>
            </w:pPr>
            <w:r>
              <w:rPr>
                <w:rFonts w:hint="eastAsia" w:ascii="宋体" w:hAnsi="宋体" w:eastAsia="宋体"/>
              </w:rPr>
              <w:t>当投标人的偏差率为0时，投标报价分值得满分50.00分;偏差率按下列规定按比例内插，最低分值为零分。投标报价分值精确至小数点后两位。</w:t>
            </w:r>
          </w:p>
          <w:p>
            <w:pPr>
              <w:spacing w:line="259" w:lineRule="auto"/>
              <w:rPr>
                <w:rFonts w:ascii="宋体" w:hAnsi="宋体" w:eastAsia="宋体"/>
              </w:rPr>
            </w:pPr>
            <w:r>
              <w:rPr>
                <w:rFonts w:hint="eastAsia" w:ascii="宋体" w:hAnsi="宋体" w:eastAsia="宋体"/>
              </w:rPr>
              <w:t>(1)如果投标人的评标价&gt;评标基准价，则评标价得分=F-偏差率</w:t>
            </w:r>
            <w:r>
              <w:rPr>
                <w:rFonts w:ascii="宋体" w:hAnsi="宋体" w:eastAsia="宋体"/>
              </w:rPr>
              <w:t>X</w:t>
            </w:r>
            <w:r>
              <w:rPr>
                <w:rFonts w:hint="eastAsia" w:ascii="宋体" w:hAnsi="宋体" w:eastAsia="宋体"/>
              </w:rPr>
              <w:t>100XE1;</w:t>
            </w:r>
          </w:p>
          <w:p>
            <w:pPr>
              <w:spacing w:line="259" w:lineRule="auto"/>
              <w:rPr>
                <w:rFonts w:ascii="宋体" w:hAnsi="宋体" w:eastAsia="宋体"/>
              </w:rPr>
            </w:pPr>
            <w:r>
              <w:rPr>
                <w:rFonts w:hint="eastAsia" w:ascii="宋体" w:hAnsi="宋体" w:eastAsia="宋体"/>
              </w:rPr>
              <w:t>(2)如果投标人的评标价≤评标基准价，则评标价得分=F+偏差率</w:t>
            </w:r>
            <w:r>
              <w:rPr>
                <w:rFonts w:ascii="宋体" w:hAnsi="宋体" w:eastAsia="宋体"/>
              </w:rPr>
              <w:t>X</w:t>
            </w:r>
            <w:r>
              <w:rPr>
                <w:rFonts w:hint="eastAsia" w:ascii="宋体" w:hAnsi="宋体" w:eastAsia="宋体"/>
              </w:rPr>
              <w:t>100</w:t>
            </w:r>
            <w:r>
              <w:rPr>
                <w:rFonts w:ascii="宋体" w:hAnsi="宋体" w:eastAsia="宋体"/>
              </w:rPr>
              <w:t>X</w:t>
            </w:r>
            <w:r>
              <w:rPr>
                <w:rFonts w:hint="eastAsia" w:ascii="宋体" w:hAnsi="宋体" w:eastAsia="宋体"/>
              </w:rPr>
              <w:t>E2;</w:t>
            </w:r>
          </w:p>
          <w:p>
            <w:pPr>
              <w:spacing w:line="259" w:lineRule="auto"/>
              <w:rPr>
                <w:rFonts w:ascii="宋体" w:hAnsi="宋体" w:eastAsia="宋体"/>
              </w:rPr>
            </w:pPr>
            <w:r>
              <w:rPr>
                <w:rFonts w:hint="eastAsia" w:ascii="宋体" w:hAnsi="宋体" w:eastAsia="宋体"/>
              </w:rPr>
              <w:t>其中:F是投标报价所占的权重分值，F=50.00:</w:t>
            </w:r>
          </w:p>
          <w:p>
            <w:pPr>
              <w:spacing w:line="259" w:lineRule="auto"/>
              <w:rPr>
                <w:rFonts w:ascii="宋体" w:hAnsi="宋体" w:eastAsia="宋体"/>
              </w:rPr>
            </w:pPr>
            <w:r>
              <w:rPr>
                <w:rFonts w:hint="eastAsia" w:ascii="宋体" w:hAnsi="宋体" w:eastAsia="宋体"/>
              </w:rPr>
              <w:t>E1:是评标价每高于评标基准价一个百分点的扣分值，E1=0.5;</w:t>
            </w:r>
          </w:p>
          <w:p>
            <w:pPr>
              <w:spacing w:line="259" w:lineRule="auto"/>
              <w:rPr>
                <w:rFonts w:ascii="宋体" w:hAnsi="宋体" w:eastAsia="宋体"/>
              </w:rPr>
            </w:pPr>
            <w:r>
              <w:rPr>
                <w:rFonts w:hint="eastAsia" w:ascii="宋体" w:hAnsi="宋体" w:eastAsia="宋体"/>
              </w:rPr>
              <w:t>E2:是评标价每低于评标基准价一个百分点的扣分值，E2=0.25:</w:t>
            </w:r>
          </w:p>
        </w:tc>
      </w:tr>
      <w:tr>
        <w:tblPrEx>
          <w:tblCellMar>
            <w:top w:w="89" w:type="dxa"/>
            <w:left w:w="106" w:type="dxa"/>
            <w:bottom w:w="0" w:type="dxa"/>
            <w:right w:w="0" w:type="dxa"/>
          </w:tblCellMar>
        </w:tblPrEx>
        <w:trPr>
          <w:trHeight w:val="1247" w:hRule="atLeast"/>
        </w:trPr>
        <w:tc>
          <w:tcPr>
            <w:tcW w:w="864" w:type="dxa"/>
            <w:gridSpan w:val="2"/>
            <w:tcBorders>
              <w:top w:val="single" w:color="000000" w:sz="4" w:space="0"/>
              <w:left w:val="single" w:color="000000" w:sz="4" w:space="0"/>
              <w:bottom w:val="single" w:color="000000" w:sz="4" w:space="0"/>
              <w:right w:val="single" w:color="000000" w:sz="4" w:space="0"/>
            </w:tcBorders>
            <w:vAlign w:val="center"/>
          </w:tcPr>
          <w:p>
            <w:pPr>
              <w:spacing w:after="64" w:line="259" w:lineRule="auto"/>
              <w:ind w:left="2"/>
              <w:rPr>
                <w:rFonts w:ascii="宋体" w:hAnsi="宋体" w:eastAsia="宋体"/>
              </w:rPr>
            </w:pPr>
            <w:r>
              <w:rPr>
                <w:rFonts w:hint="eastAsia" w:ascii="宋体" w:hAnsi="宋体" w:eastAsia="宋体"/>
              </w:rPr>
              <w:t>2.3.4</w:t>
            </w:r>
          </w:p>
        </w:tc>
        <w:tc>
          <w:tcPr>
            <w:tcW w:w="2965"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宋体" w:hAnsi="宋体" w:eastAsia="宋体"/>
              </w:rPr>
            </w:pPr>
            <w:r>
              <w:rPr>
                <w:rFonts w:hint="eastAsia" w:ascii="宋体" w:hAnsi="宋体" w:eastAsia="宋体"/>
              </w:rPr>
              <w:t>项目经理、技术负责人的素质、经历和经验（</w:t>
            </w:r>
            <w:r>
              <w:rPr>
                <w:rFonts w:ascii="宋体" w:hAnsi="宋体" w:eastAsia="宋体"/>
                <w:sz w:val="22"/>
                <w:szCs w:val="28"/>
              </w:rPr>
              <w:t>8</w:t>
            </w:r>
            <w:r>
              <w:rPr>
                <w:rFonts w:hint="eastAsia" w:ascii="宋体" w:hAnsi="宋体" w:eastAsia="宋体"/>
              </w:rPr>
              <w:t>分）</w:t>
            </w:r>
          </w:p>
        </w:tc>
        <w:tc>
          <w:tcPr>
            <w:tcW w:w="48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rPr>
            </w:pPr>
            <w:r>
              <w:rPr>
                <w:rFonts w:hint="eastAsia" w:ascii="宋体" w:hAnsi="宋体" w:eastAsia="宋体"/>
              </w:rPr>
              <w:t>1对拟投入本工程的项目经理、技术负责人的专业技术职称、现场管理经验、工作能力和业绩进行评分。本项最高得分</w:t>
            </w:r>
            <w:r>
              <w:rPr>
                <w:rFonts w:ascii="宋体" w:hAnsi="宋体" w:eastAsia="宋体"/>
              </w:rPr>
              <w:t>4</w:t>
            </w:r>
            <w:r>
              <w:rPr>
                <w:rFonts w:hint="eastAsia" w:ascii="宋体" w:hAnsi="宋体" w:eastAsia="宋体"/>
              </w:rPr>
              <w:t xml:space="preserve">分。 </w:t>
            </w:r>
          </w:p>
          <w:p>
            <w:pPr>
              <w:rPr>
                <w:rFonts w:ascii="宋体" w:hAnsi="宋体" w:eastAsia="宋体"/>
              </w:rPr>
            </w:pPr>
            <w:r>
              <w:rPr>
                <w:rFonts w:hint="eastAsia" w:ascii="宋体" w:hAnsi="宋体" w:eastAsia="宋体"/>
              </w:rPr>
              <w:t xml:space="preserve"> 2拟投入本工程的主要专业技术人员的专业配置、情况、人员素质、经验、综合水平及投入数量进行评分。本项最高得分</w:t>
            </w:r>
            <w:r>
              <w:rPr>
                <w:rFonts w:ascii="宋体" w:hAnsi="宋体" w:eastAsia="宋体"/>
              </w:rPr>
              <w:t>4</w:t>
            </w:r>
            <w:r>
              <w:rPr>
                <w:rFonts w:hint="eastAsia" w:ascii="宋体" w:hAnsi="宋体" w:eastAsia="宋体"/>
              </w:rPr>
              <w:t>分。</w:t>
            </w:r>
          </w:p>
        </w:tc>
      </w:tr>
      <w:tr>
        <w:tblPrEx>
          <w:tblCellMar>
            <w:top w:w="89" w:type="dxa"/>
            <w:left w:w="106" w:type="dxa"/>
            <w:bottom w:w="0" w:type="dxa"/>
            <w:right w:w="0" w:type="dxa"/>
          </w:tblCellMar>
        </w:tblPrEx>
        <w:trPr>
          <w:trHeight w:val="1247" w:hRule="atLeast"/>
        </w:trPr>
        <w:tc>
          <w:tcPr>
            <w:tcW w:w="864" w:type="dxa"/>
            <w:gridSpan w:val="2"/>
            <w:tcBorders>
              <w:top w:val="single" w:color="000000" w:sz="4" w:space="0"/>
              <w:left w:val="single" w:color="000000" w:sz="4" w:space="0"/>
              <w:bottom w:val="single" w:color="000000" w:sz="4" w:space="0"/>
              <w:right w:val="single" w:color="000000" w:sz="4" w:space="0"/>
            </w:tcBorders>
            <w:vAlign w:val="center"/>
          </w:tcPr>
          <w:p>
            <w:pPr>
              <w:spacing w:after="64" w:line="259" w:lineRule="auto"/>
              <w:ind w:left="2"/>
              <w:rPr>
                <w:rFonts w:ascii="宋体" w:hAnsi="宋体" w:eastAsia="宋体"/>
              </w:rPr>
            </w:pPr>
          </w:p>
        </w:tc>
        <w:tc>
          <w:tcPr>
            <w:tcW w:w="2965" w:type="dxa"/>
            <w:gridSpan w:val="3"/>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宋体" w:hAnsi="宋体" w:eastAsia="宋体"/>
              </w:rPr>
            </w:pPr>
            <w:r>
              <w:rPr>
                <w:rFonts w:ascii="宋体" w:hAnsi="宋体" w:eastAsia="宋体"/>
              </w:rPr>
              <w:t>施工组织设计（</w:t>
            </w:r>
            <w:r>
              <w:rPr>
                <w:rFonts w:hint="eastAsia" w:ascii="宋体" w:hAnsi="宋体" w:eastAsia="宋体"/>
              </w:rPr>
              <w:t>3</w:t>
            </w:r>
            <w:r>
              <w:rPr>
                <w:rFonts w:ascii="宋体" w:hAnsi="宋体" w:eastAsia="宋体"/>
              </w:rPr>
              <w:t>2分）</w:t>
            </w:r>
          </w:p>
        </w:tc>
        <w:tc>
          <w:tcPr>
            <w:tcW w:w="4875" w:type="dxa"/>
            <w:tcBorders>
              <w:top w:val="single" w:color="000000" w:sz="4" w:space="0"/>
              <w:left w:val="single" w:color="000000" w:sz="4" w:space="0"/>
              <w:bottom w:val="single" w:color="000000" w:sz="4" w:space="0"/>
              <w:right w:val="single" w:color="000000" w:sz="4" w:space="0"/>
            </w:tcBorders>
          </w:tcPr>
          <w:p>
            <w:pPr>
              <w:rPr>
                <w:rFonts w:ascii="宋体" w:hAnsi="宋体" w:eastAsia="宋体"/>
              </w:rPr>
            </w:pPr>
            <w:r>
              <w:rPr>
                <w:rFonts w:hint="eastAsia" w:ascii="宋体" w:hAnsi="宋体" w:eastAsia="宋体"/>
              </w:rPr>
              <w:t>（1）.施工方案针对性、可行性非常强，施工技术方案及关键技术、工艺把握准确，应用非常到位、阐释非常清晰，解决方案科学、系统、安全，可操作性非常强；技术保障措施得力并有针对性和可操作性等方面进行综合评定，评定为：第1</w:t>
            </w:r>
            <w:r>
              <w:rPr>
                <w:rFonts w:ascii="宋体" w:hAnsi="宋体" w:eastAsia="宋体"/>
              </w:rPr>
              <w:t>等级的，得12-18分；第</w:t>
            </w:r>
            <w:r>
              <w:rPr>
                <w:rFonts w:hint="eastAsia" w:ascii="宋体" w:hAnsi="宋体" w:eastAsia="宋体"/>
              </w:rPr>
              <w:t>2</w:t>
            </w:r>
            <w:r>
              <w:rPr>
                <w:rFonts w:ascii="宋体" w:hAnsi="宋体" w:eastAsia="宋体"/>
              </w:rPr>
              <w:t>等级的，得7-12（</w:t>
            </w:r>
            <w:r>
              <w:rPr>
                <w:rFonts w:hint="eastAsia" w:ascii="宋体" w:hAnsi="宋体" w:eastAsia="宋体"/>
              </w:rPr>
              <w:t>不含）</w:t>
            </w:r>
            <w:r>
              <w:rPr>
                <w:rFonts w:ascii="宋体" w:hAnsi="宋体" w:eastAsia="宋体"/>
              </w:rPr>
              <w:t>分；第</w:t>
            </w:r>
            <w:r>
              <w:rPr>
                <w:rFonts w:hint="eastAsia" w:ascii="宋体" w:hAnsi="宋体" w:eastAsia="宋体"/>
              </w:rPr>
              <w:t>3</w:t>
            </w:r>
            <w:r>
              <w:rPr>
                <w:rFonts w:ascii="宋体" w:hAnsi="宋体" w:eastAsia="宋体"/>
              </w:rPr>
              <w:t>等级的，得0-7（</w:t>
            </w:r>
            <w:r>
              <w:rPr>
                <w:rFonts w:hint="eastAsia" w:ascii="宋体" w:hAnsi="宋体" w:eastAsia="宋体"/>
              </w:rPr>
              <w:t>不含）</w:t>
            </w:r>
            <w:r>
              <w:rPr>
                <w:rFonts w:ascii="宋体" w:hAnsi="宋体" w:eastAsia="宋体"/>
              </w:rPr>
              <w:t>分。</w:t>
            </w:r>
          </w:p>
          <w:p>
            <w:pPr>
              <w:rPr>
                <w:rFonts w:ascii="宋体" w:hAnsi="宋体" w:eastAsia="宋体"/>
              </w:rPr>
            </w:pPr>
            <w:r>
              <w:rPr>
                <w:rFonts w:hint="eastAsia" w:ascii="宋体" w:hAnsi="宋体" w:eastAsia="宋体"/>
              </w:rPr>
              <w:t>评定标准：</w:t>
            </w:r>
          </w:p>
          <w:p>
            <w:pPr>
              <w:rPr>
                <w:rFonts w:ascii="宋体" w:hAnsi="宋体" w:eastAsia="宋体"/>
              </w:rPr>
            </w:pPr>
            <w:r>
              <w:rPr>
                <w:rFonts w:hint="eastAsia" w:ascii="宋体" w:hAnsi="宋体" w:eastAsia="宋体"/>
              </w:rPr>
              <w:t>第1</w:t>
            </w:r>
            <w:r>
              <w:rPr>
                <w:rFonts w:ascii="宋体" w:hAnsi="宋体" w:eastAsia="宋体"/>
              </w:rPr>
              <w:t>等级：</w:t>
            </w:r>
            <w:r>
              <w:rPr>
                <w:rFonts w:hint="eastAsia" w:ascii="宋体" w:hAnsi="宋体" w:eastAsia="宋体"/>
              </w:rPr>
              <w:t>完全符合招标文件要求，</w:t>
            </w:r>
            <w:r>
              <w:rPr>
                <w:rFonts w:ascii="宋体" w:hAnsi="宋体" w:eastAsia="宋体"/>
              </w:rPr>
              <w:t>方案合理</w:t>
            </w:r>
            <w:r>
              <w:rPr>
                <w:rFonts w:hint="eastAsia" w:ascii="宋体" w:hAnsi="宋体" w:eastAsia="宋体"/>
              </w:rPr>
              <w:t>且切合实际，并符合施工规范要求，技术措施完善、针对性和可操作性强</w:t>
            </w:r>
            <w:r>
              <w:rPr>
                <w:rFonts w:ascii="宋体" w:hAnsi="宋体" w:eastAsia="宋体"/>
              </w:rPr>
              <w:t>；</w:t>
            </w:r>
          </w:p>
          <w:p>
            <w:pPr>
              <w:rPr>
                <w:rFonts w:ascii="宋体" w:hAnsi="宋体" w:eastAsia="宋体"/>
              </w:rPr>
            </w:pPr>
            <w:r>
              <w:rPr>
                <w:rFonts w:hint="eastAsia" w:ascii="宋体" w:hAnsi="宋体" w:eastAsia="宋体"/>
              </w:rPr>
              <w:t>第2</w:t>
            </w:r>
            <w:r>
              <w:rPr>
                <w:rFonts w:ascii="宋体" w:hAnsi="宋体" w:eastAsia="宋体"/>
              </w:rPr>
              <w:t>等级：</w:t>
            </w:r>
            <w:r>
              <w:rPr>
                <w:rFonts w:hint="eastAsia" w:ascii="宋体" w:hAnsi="宋体" w:eastAsia="宋体"/>
              </w:rPr>
              <w:t>基本符合招标文件要求，</w:t>
            </w:r>
            <w:r>
              <w:rPr>
                <w:rFonts w:ascii="宋体" w:hAnsi="宋体" w:eastAsia="宋体"/>
              </w:rPr>
              <w:t>方案</w:t>
            </w:r>
            <w:r>
              <w:rPr>
                <w:rFonts w:hint="eastAsia" w:ascii="宋体" w:hAnsi="宋体" w:eastAsia="宋体"/>
              </w:rPr>
              <w:t>较</w:t>
            </w:r>
            <w:r>
              <w:rPr>
                <w:rFonts w:ascii="宋体" w:hAnsi="宋体" w:eastAsia="宋体"/>
              </w:rPr>
              <w:t>合理</w:t>
            </w:r>
            <w:r>
              <w:rPr>
                <w:rFonts w:hint="eastAsia" w:ascii="宋体" w:hAnsi="宋体" w:eastAsia="宋体"/>
              </w:rPr>
              <w:t>且切合实际，并基本符合施工规范要求，技术措施相对完善、针对性和可操作性较强</w:t>
            </w:r>
            <w:r>
              <w:rPr>
                <w:rFonts w:ascii="宋体" w:hAnsi="宋体" w:eastAsia="宋体"/>
              </w:rPr>
              <w:t>；</w:t>
            </w:r>
          </w:p>
          <w:p>
            <w:pPr>
              <w:rPr>
                <w:rFonts w:ascii="宋体" w:hAnsi="宋体" w:eastAsia="宋体"/>
              </w:rPr>
            </w:pPr>
            <w:r>
              <w:rPr>
                <w:rFonts w:hint="eastAsia" w:ascii="宋体" w:hAnsi="宋体" w:eastAsia="宋体"/>
              </w:rPr>
              <w:t>第3</w:t>
            </w:r>
            <w:r>
              <w:rPr>
                <w:rFonts w:ascii="宋体" w:hAnsi="宋体" w:eastAsia="宋体"/>
              </w:rPr>
              <w:t>等级：方案合理</w:t>
            </w:r>
            <w:r>
              <w:rPr>
                <w:rFonts w:hint="eastAsia" w:ascii="宋体" w:hAnsi="宋体" w:eastAsia="宋体"/>
              </w:rPr>
              <w:t>性不足，技术措施不够完善、针对性和可操作性较弱。</w:t>
            </w:r>
          </w:p>
          <w:p>
            <w:pPr>
              <w:pStyle w:val="276"/>
              <w:rPr>
                <w:rFonts w:ascii="宋体" w:hAnsi="宋体" w:cs="Arial"/>
              </w:rPr>
            </w:pPr>
            <w:r>
              <w:rPr>
                <w:rFonts w:hint="eastAsia" w:ascii="宋体" w:hAnsi="宋体"/>
              </w:rPr>
              <w:t>（2）根据投标人提供质量、安全、文明施工与环境保护等体系与措施（包括施工现场环保措施，环境保护、海水污染等）以及创优计划进行综合评定，</w:t>
            </w:r>
            <w:r>
              <w:rPr>
                <w:rFonts w:hint="eastAsia" w:ascii="宋体" w:hAnsi="宋体" w:cs="宋体"/>
              </w:rPr>
              <w:t>评定为：第</w:t>
            </w:r>
            <w:r>
              <w:rPr>
                <w:rFonts w:hint="eastAsia" w:ascii="宋体" w:hAnsi="宋体" w:cs="Arial"/>
              </w:rPr>
              <w:t>1</w:t>
            </w:r>
            <w:r>
              <w:rPr>
                <w:rFonts w:hint="eastAsia" w:ascii="宋体" w:hAnsi="宋体" w:cs="宋体"/>
              </w:rPr>
              <w:t>等级的，得</w:t>
            </w:r>
            <w:r>
              <w:rPr>
                <w:rFonts w:hint="eastAsia" w:ascii="宋体" w:hAnsi="宋体" w:cs="Arial"/>
              </w:rPr>
              <w:t>10</w:t>
            </w:r>
            <w:r>
              <w:rPr>
                <w:rFonts w:ascii="宋体" w:hAnsi="宋体" w:cs="Arial"/>
              </w:rPr>
              <w:t>-</w:t>
            </w:r>
            <w:r>
              <w:rPr>
                <w:rFonts w:hint="eastAsia" w:ascii="宋体" w:hAnsi="宋体" w:cs="Arial"/>
              </w:rPr>
              <w:t>14</w:t>
            </w:r>
            <w:r>
              <w:rPr>
                <w:rFonts w:hint="eastAsia" w:ascii="宋体" w:hAnsi="宋体" w:cs="宋体"/>
              </w:rPr>
              <w:t>分；第</w:t>
            </w:r>
            <w:r>
              <w:rPr>
                <w:rFonts w:hint="eastAsia" w:ascii="宋体" w:hAnsi="宋体" w:cs="Arial"/>
              </w:rPr>
              <w:t>2</w:t>
            </w:r>
            <w:r>
              <w:rPr>
                <w:rFonts w:hint="eastAsia" w:ascii="宋体" w:hAnsi="宋体" w:cs="宋体"/>
              </w:rPr>
              <w:t>等级的，得</w:t>
            </w:r>
            <w:r>
              <w:rPr>
                <w:rFonts w:hint="eastAsia" w:ascii="宋体" w:hAnsi="宋体" w:cs="Arial"/>
              </w:rPr>
              <w:t>5-9</w:t>
            </w:r>
            <w:r>
              <w:rPr>
                <w:rFonts w:hint="eastAsia" w:ascii="宋体" w:hAnsi="宋体" w:cs="宋体"/>
              </w:rPr>
              <w:t>（不含）分；第</w:t>
            </w:r>
            <w:r>
              <w:rPr>
                <w:rFonts w:hint="eastAsia" w:ascii="宋体" w:hAnsi="宋体" w:cs="Arial"/>
              </w:rPr>
              <w:t>3</w:t>
            </w:r>
            <w:r>
              <w:rPr>
                <w:rFonts w:hint="eastAsia" w:ascii="宋体" w:hAnsi="宋体" w:cs="宋体"/>
              </w:rPr>
              <w:t>等级的，得</w:t>
            </w:r>
            <w:r>
              <w:rPr>
                <w:rFonts w:ascii="宋体" w:hAnsi="宋体" w:cs="Arial"/>
              </w:rPr>
              <w:t>0-</w:t>
            </w:r>
            <w:r>
              <w:rPr>
                <w:rFonts w:hint="eastAsia" w:ascii="宋体" w:hAnsi="宋体" w:cs="Arial"/>
              </w:rPr>
              <w:t>4</w:t>
            </w:r>
            <w:r>
              <w:rPr>
                <w:rFonts w:hint="eastAsia" w:ascii="宋体" w:hAnsi="宋体" w:cs="宋体"/>
              </w:rPr>
              <w:t>（不含）分。</w:t>
            </w:r>
          </w:p>
          <w:p>
            <w:pPr>
              <w:widowControl/>
              <w:rPr>
                <w:rFonts w:ascii="宋体" w:hAnsi="宋体" w:eastAsia="宋体" w:cs="Arial"/>
                <w:szCs w:val="21"/>
              </w:rPr>
            </w:pPr>
            <w:r>
              <w:rPr>
                <w:rFonts w:hint="eastAsia" w:ascii="宋体" w:hAnsi="宋体" w:eastAsia="宋体" w:cs="宋体"/>
                <w:szCs w:val="21"/>
              </w:rPr>
              <w:t>第</w:t>
            </w:r>
            <w:r>
              <w:rPr>
                <w:rFonts w:hint="eastAsia" w:ascii="宋体" w:hAnsi="宋体" w:eastAsia="宋体" w:cs="Arial"/>
                <w:szCs w:val="21"/>
              </w:rPr>
              <w:t>1</w:t>
            </w:r>
            <w:r>
              <w:rPr>
                <w:rFonts w:hint="eastAsia" w:ascii="宋体" w:hAnsi="宋体" w:eastAsia="宋体" w:cs="宋体"/>
                <w:szCs w:val="21"/>
              </w:rPr>
              <w:t>等级：完全符合招标文件要求，措施合理且切合实际，针对性和可操作性强；</w:t>
            </w:r>
          </w:p>
          <w:p>
            <w:pPr>
              <w:widowControl/>
              <w:rPr>
                <w:rFonts w:ascii="宋体" w:hAnsi="宋体" w:eastAsia="宋体" w:cs="Arial"/>
                <w:szCs w:val="21"/>
              </w:rPr>
            </w:pPr>
            <w:r>
              <w:rPr>
                <w:rFonts w:hint="eastAsia" w:ascii="宋体" w:hAnsi="宋体" w:eastAsia="宋体" w:cs="宋体"/>
                <w:szCs w:val="21"/>
              </w:rPr>
              <w:t>第</w:t>
            </w:r>
            <w:r>
              <w:rPr>
                <w:rFonts w:hint="eastAsia" w:ascii="宋体" w:hAnsi="宋体" w:eastAsia="宋体" w:cs="Arial"/>
                <w:szCs w:val="21"/>
              </w:rPr>
              <w:t>2</w:t>
            </w:r>
            <w:r>
              <w:rPr>
                <w:rFonts w:hint="eastAsia" w:ascii="宋体" w:hAnsi="宋体" w:eastAsia="宋体" w:cs="宋体"/>
                <w:szCs w:val="21"/>
              </w:rPr>
              <w:t>等级：基本符合招标文件要求，措施较合理且切合实际，针对性和可操作性较强；</w:t>
            </w:r>
          </w:p>
          <w:p>
            <w:pPr>
              <w:rPr>
                <w:rFonts w:ascii="宋体" w:hAnsi="宋体" w:eastAsia="宋体" w:cs="仿宋_GB2312"/>
              </w:rPr>
            </w:pPr>
            <w:r>
              <w:rPr>
                <w:rFonts w:hint="eastAsia" w:ascii="宋体" w:hAnsi="宋体" w:eastAsia="宋体" w:cs="宋体"/>
              </w:rPr>
              <w:t>第</w:t>
            </w:r>
            <w:r>
              <w:rPr>
                <w:rFonts w:hint="eastAsia" w:ascii="宋体" w:hAnsi="宋体" w:eastAsia="宋体" w:cs="Arial"/>
              </w:rPr>
              <w:t>3</w:t>
            </w:r>
            <w:r>
              <w:rPr>
                <w:rFonts w:hint="eastAsia" w:ascii="宋体" w:hAnsi="宋体" w:eastAsia="宋体" w:cs="宋体"/>
              </w:rPr>
              <w:t>等级：措施合理性不足，不够完善、针对性和可操作性较弱。</w:t>
            </w:r>
          </w:p>
        </w:tc>
      </w:tr>
      <w:tr>
        <w:tblPrEx>
          <w:tblCellMar>
            <w:top w:w="89" w:type="dxa"/>
            <w:left w:w="106" w:type="dxa"/>
            <w:bottom w:w="0" w:type="dxa"/>
            <w:right w:w="0" w:type="dxa"/>
          </w:tblCellMar>
        </w:tblPrEx>
        <w:trPr>
          <w:trHeight w:val="372" w:hRule="atLeast"/>
        </w:trPr>
        <w:tc>
          <w:tcPr>
            <w:tcW w:w="8704" w:type="dxa"/>
            <w:gridSpan w:val="6"/>
            <w:tcBorders>
              <w:top w:val="single" w:color="000000" w:sz="4" w:space="0"/>
              <w:left w:val="single" w:color="000000" w:sz="4" w:space="0"/>
              <w:bottom w:val="single" w:color="000000" w:sz="4" w:space="0"/>
              <w:right w:val="single" w:color="000000" w:sz="4" w:space="0"/>
            </w:tcBorders>
          </w:tcPr>
          <w:p>
            <w:pPr>
              <w:spacing w:line="259" w:lineRule="auto"/>
              <w:ind w:left="2"/>
              <w:rPr>
                <w:rFonts w:ascii="宋体" w:hAnsi="宋体" w:eastAsia="宋体"/>
              </w:rPr>
            </w:pPr>
            <w:r>
              <w:rPr>
                <w:rFonts w:ascii="宋体" w:hAnsi="宋体" w:eastAsia="宋体"/>
              </w:rPr>
              <w:t xml:space="preserve">附件 </w:t>
            </w:r>
          </w:p>
        </w:tc>
      </w:tr>
      <w:tr>
        <w:tblPrEx>
          <w:tblCellMar>
            <w:top w:w="89" w:type="dxa"/>
            <w:left w:w="106" w:type="dxa"/>
            <w:bottom w:w="0" w:type="dxa"/>
            <w:right w:w="0" w:type="dxa"/>
          </w:tblCellMar>
        </w:tblPrEx>
        <w:trPr>
          <w:trHeight w:val="370" w:hRule="atLeast"/>
        </w:trPr>
        <w:tc>
          <w:tcPr>
            <w:tcW w:w="746" w:type="dxa"/>
            <w:tcBorders>
              <w:top w:val="single" w:color="000000" w:sz="4" w:space="0"/>
              <w:left w:val="single" w:color="000000" w:sz="4" w:space="0"/>
              <w:bottom w:val="single" w:color="000000" w:sz="4" w:space="0"/>
              <w:right w:val="single" w:color="000000" w:sz="4" w:space="0"/>
            </w:tcBorders>
          </w:tcPr>
          <w:p>
            <w:pPr>
              <w:spacing w:line="259" w:lineRule="auto"/>
              <w:ind w:right="108"/>
              <w:jc w:val="center"/>
              <w:rPr>
                <w:rFonts w:ascii="宋体" w:hAnsi="宋体" w:eastAsia="宋体"/>
              </w:rPr>
            </w:pPr>
            <w:r>
              <w:rPr>
                <w:rFonts w:ascii="宋体" w:hAnsi="宋体" w:eastAsia="宋体"/>
              </w:rPr>
              <w:t xml:space="preserve">1 </w:t>
            </w:r>
          </w:p>
        </w:tc>
        <w:tc>
          <w:tcPr>
            <w:tcW w:w="2228" w:type="dxa"/>
            <w:gridSpan w:val="3"/>
            <w:tcBorders>
              <w:top w:val="single" w:color="000000" w:sz="4" w:space="0"/>
              <w:left w:val="single" w:color="000000" w:sz="4" w:space="0"/>
              <w:bottom w:val="single" w:color="000000" w:sz="4" w:space="0"/>
              <w:right w:val="single" w:color="000000" w:sz="4" w:space="0"/>
            </w:tcBorders>
          </w:tcPr>
          <w:p>
            <w:pPr>
              <w:spacing w:line="259" w:lineRule="auto"/>
              <w:ind w:left="2"/>
              <w:rPr>
                <w:rFonts w:ascii="宋体" w:hAnsi="宋体" w:eastAsia="宋体"/>
              </w:rPr>
            </w:pPr>
            <w:r>
              <w:rPr>
                <w:rFonts w:ascii="宋体" w:hAnsi="宋体" w:eastAsia="宋体"/>
              </w:rPr>
              <w:t xml:space="preserve">否决投标条件 </w:t>
            </w:r>
          </w:p>
        </w:tc>
        <w:tc>
          <w:tcPr>
            <w:tcW w:w="5730" w:type="dxa"/>
            <w:gridSpan w:val="2"/>
            <w:tcBorders>
              <w:top w:val="single" w:color="000000" w:sz="4" w:space="0"/>
              <w:left w:val="single" w:color="000000" w:sz="4" w:space="0"/>
              <w:bottom w:val="single" w:color="000000" w:sz="4" w:space="0"/>
              <w:right w:val="single" w:color="000000" w:sz="4" w:space="0"/>
            </w:tcBorders>
          </w:tcPr>
          <w:p>
            <w:pPr>
              <w:spacing w:line="259" w:lineRule="auto"/>
              <w:ind w:left="2"/>
              <w:rPr>
                <w:rFonts w:ascii="宋体" w:hAnsi="宋体" w:eastAsia="宋体"/>
              </w:rPr>
            </w:pPr>
            <w:r>
              <w:rPr>
                <w:rFonts w:ascii="宋体" w:hAnsi="宋体" w:eastAsia="宋体"/>
              </w:rPr>
              <w:t xml:space="preserve">详见本章附件A：否决投标条件 </w:t>
            </w:r>
          </w:p>
        </w:tc>
      </w:tr>
    </w:tbl>
    <w:p>
      <w:pPr>
        <w:pStyle w:val="66"/>
        <w:ind w:firstLine="0" w:firstLineChars="0"/>
        <w:rPr>
          <w:rFonts w:asciiTheme="minorEastAsia" w:hAnsiTheme="minorEastAsia"/>
          <w:sz w:val="18"/>
          <w:szCs w:val="18"/>
          <w:lang w:val="en-US"/>
        </w:rPr>
      </w:pPr>
    </w:p>
    <w:p>
      <w:pPr>
        <w:pStyle w:val="66"/>
        <w:ind w:firstLine="360"/>
        <w:rPr>
          <w:rFonts w:asciiTheme="minorEastAsia" w:hAnsiTheme="minorEastAsia"/>
          <w:sz w:val="18"/>
          <w:szCs w:val="18"/>
        </w:rPr>
      </w:pPr>
    </w:p>
    <w:p>
      <w:pPr>
        <w:spacing w:before="156" w:beforeLines="50" w:line="240" w:lineRule="exact"/>
        <w:rPr>
          <w:rFonts w:hAnsi="宋体" w:eastAsia="宋体" w:cs="宋体"/>
          <w:b/>
          <w:szCs w:val="21"/>
        </w:rPr>
      </w:pPr>
      <w:r>
        <w:rPr>
          <w:rFonts w:hint="eastAsia" w:hAnsi="宋体" w:eastAsia="宋体" w:cs="宋体"/>
          <w:b/>
          <w:szCs w:val="21"/>
        </w:rPr>
        <w:t>1.评标方法</w:t>
      </w:r>
    </w:p>
    <w:p>
      <w:pPr>
        <w:spacing w:line="400" w:lineRule="exact"/>
        <w:ind w:firstLine="420" w:firstLineChars="200"/>
        <w:rPr>
          <w:rFonts w:hAnsi="宋体" w:eastAsia="宋体" w:cs="宋体"/>
          <w:szCs w:val="21"/>
        </w:rPr>
      </w:pPr>
      <w:r>
        <w:rPr>
          <w:rFonts w:hint="eastAsia" w:hAnsi="宋体" w:eastAsia="宋体" w:cs="宋体"/>
          <w:szCs w:val="21"/>
        </w:rPr>
        <w:t>1.1 本次评标，采用综合评分法。</w:t>
      </w:r>
    </w:p>
    <w:p>
      <w:pPr>
        <w:spacing w:line="400" w:lineRule="exact"/>
        <w:ind w:firstLine="420" w:firstLineChars="200"/>
        <w:rPr>
          <w:rFonts w:hAnsi="宋体" w:eastAsia="宋体" w:cs="宋体"/>
          <w:szCs w:val="21"/>
        </w:rPr>
      </w:pPr>
      <w:r>
        <w:rPr>
          <w:rFonts w:hAnsi="宋体" w:eastAsia="宋体" w:cs="宋体"/>
          <w:szCs w:val="21"/>
        </w:rPr>
        <w:t xml:space="preserve">评标委员会依次按照评标入围、初步评审、详细评审的顺序进行评审，对入围且满足招标文件实质性要求的投标文件，按照本章第2.3 款规定的评分标准进行打分，并按得分由高到低顺序推荐中标候选人，或根据招标人授权直接确定中标人，但投标报价低于其成本的除外。得分相等时，以投标报价低的优先；投标报价也相等的，由招标人自行确定。 </w:t>
      </w:r>
    </w:p>
    <w:p>
      <w:pPr>
        <w:spacing w:line="400" w:lineRule="exact"/>
        <w:ind w:firstLine="420" w:firstLineChars="200"/>
        <w:rPr>
          <w:rFonts w:hAnsi="宋体" w:eastAsia="宋体" w:cs="宋体"/>
          <w:szCs w:val="21"/>
        </w:rPr>
      </w:pPr>
      <w:r>
        <w:rPr>
          <w:rFonts w:hint="eastAsia" w:hAnsi="宋体" w:eastAsia="宋体" w:cs="宋体"/>
          <w:szCs w:val="21"/>
        </w:rPr>
        <w:t>1.2本办法未尽事宜，由评标委员会依据有关规定研究解决并具有最终解释权。</w:t>
      </w:r>
    </w:p>
    <w:p>
      <w:pPr>
        <w:ind w:right="113"/>
        <w:rPr>
          <w:rFonts w:hAnsi="宋体" w:eastAsia="宋体" w:cs="宋体"/>
          <w:color w:val="000000"/>
        </w:rPr>
      </w:pPr>
    </w:p>
    <w:p>
      <w:pPr>
        <w:pStyle w:val="331"/>
        <w:rPr>
          <w:rFonts w:asciiTheme="minorHAnsi"/>
        </w:rPr>
      </w:pPr>
      <w:r>
        <w:rPr>
          <w:rFonts w:hint="eastAsia" w:asciiTheme="minorHAnsi"/>
        </w:rPr>
        <w:t>2. 评审标准</w:t>
      </w:r>
    </w:p>
    <w:p>
      <w:pPr>
        <w:pStyle w:val="258"/>
        <w:rPr>
          <w:rFonts w:hAnsi="宋体" w:cs="宋体" w:asciiTheme="minorHAnsi"/>
          <w:szCs w:val="21"/>
        </w:rPr>
      </w:pPr>
      <w:r>
        <w:rPr>
          <w:rFonts w:hint="eastAsia" w:hAnsi="宋体" w:cs="宋体" w:asciiTheme="minorHAnsi"/>
          <w:szCs w:val="21"/>
        </w:rPr>
        <w:t>2.1 初步评审标准</w:t>
      </w:r>
    </w:p>
    <w:p>
      <w:pPr>
        <w:spacing w:line="400" w:lineRule="exact"/>
        <w:ind w:firstLine="420" w:firstLineChars="200"/>
        <w:rPr>
          <w:rFonts w:hAnsi="宋体" w:eastAsia="宋体" w:cs="宋体"/>
          <w:szCs w:val="21"/>
        </w:rPr>
      </w:pPr>
      <w:r>
        <w:rPr>
          <w:rFonts w:hint="eastAsia" w:hAnsi="宋体" w:eastAsia="宋体" w:cs="宋体"/>
          <w:szCs w:val="21"/>
        </w:rPr>
        <w:t>2.1.1 形式评审标准：见评标办法前附表。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2.1.2 资格评审标准：见评标办法前附表。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2.1.3 响应性评审标准：见评标办法前附表。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3. 评标程序</w:t>
      </w:r>
    </w:p>
    <w:p>
      <w:pPr>
        <w:pStyle w:val="258"/>
        <w:rPr>
          <w:rFonts w:hAnsi="宋体" w:cs="宋体" w:asciiTheme="minorHAnsi"/>
          <w:szCs w:val="21"/>
        </w:rPr>
      </w:pPr>
      <w:r>
        <w:rPr>
          <w:rFonts w:hint="eastAsia"/>
        </w:rPr>
        <w:t>3.</w:t>
      </w:r>
      <w:r>
        <w:rPr>
          <w:rFonts w:hint="eastAsia" w:hAnsi="宋体" w:cs="宋体" w:asciiTheme="minorHAnsi"/>
          <w:szCs w:val="21"/>
        </w:rPr>
        <w:t>1 评标准备</w:t>
      </w:r>
    </w:p>
    <w:p>
      <w:pPr>
        <w:spacing w:line="400" w:lineRule="exact"/>
        <w:ind w:firstLine="420" w:firstLineChars="200"/>
        <w:rPr>
          <w:rFonts w:hAnsi="宋体" w:eastAsia="宋体" w:cs="宋体"/>
          <w:szCs w:val="21"/>
        </w:rPr>
      </w:pPr>
      <w:r>
        <w:rPr>
          <w:rFonts w:hint="eastAsia" w:hAnsi="宋体" w:eastAsia="宋体" w:cs="宋体"/>
          <w:szCs w:val="21"/>
        </w:rPr>
        <w:t>3.1.1评标由招标人依法组建的招投标小组负责.招投标小组负责人由招投标小组成员推举产生。招投标小组成员应遵守有关法律、法规、规章，遵守评标纪律和其他有关评标规定。</w:t>
      </w:r>
    </w:p>
    <w:p>
      <w:pPr>
        <w:spacing w:line="400" w:lineRule="exact"/>
        <w:ind w:firstLine="420" w:firstLineChars="200"/>
        <w:rPr>
          <w:rFonts w:hAnsi="宋体" w:eastAsia="宋体" w:cs="宋体"/>
          <w:szCs w:val="21"/>
        </w:rPr>
      </w:pPr>
      <w:r>
        <w:rPr>
          <w:rFonts w:hint="eastAsia" w:hAnsi="宋体" w:eastAsia="宋体" w:cs="宋体"/>
          <w:szCs w:val="21"/>
        </w:rPr>
        <w:t>3.1.2招标人（或招标代理人）应向招投标小组提供下列资料供评标使用：</w:t>
      </w:r>
    </w:p>
    <w:p>
      <w:pPr>
        <w:spacing w:line="400" w:lineRule="exact"/>
        <w:ind w:firstLine="420" w:firstLineChars="200"/>
        <w:rPr>
          <w:rFonts w:hAnsi="宋体" w:eastAsia="宋体" w:cs="宋体"/>
          <w:szCs w:val="21"/>
        </w:rPr>
      </w:pPr>
      <w:r>
        <w:rPr>
          <w:rFonts w:hint="eastAsia" w:hAnsi="宋体" w:eastAsia="宋体" w:cs="宋体"/>
          <w:szCs w:val="21"/>
        </w:rPr>
        <w:t>⑴ 经备案的招标文件、包括补遗文件、答疑会纪要、工程量清单等；</w:t>
      </w:r>
    </w:p>
    <w:p>
      <w:pPr>
        <w:spacing w:line="400" w:lineRule="exact"/>
        <w:ind w:firstLine="420" w:firstLineChars="200"/>
        <w:rPr>
          <w:rFonts w:hAnsi="宋体" w:eastAsia="宋体" w:cs="宋体"/>
          <w:szCs w:val="21"/>
        </w:rPr>
      </w:pPr>
      <w:r>
        <w:rPr>
          <w:rFonts w:hint="eastAsia" w:hAnsi="宋体" w:eastAsia="宋体" w:cs="宋体"/>
          <w:szCs w:val="21"/>
        </w:rPr>
        <w:t>⑵ 供评标使用的主要施工图纸、地质勘查报告等工程技术资料；</w:t>
      </w:r>
    </w:p>
    <w:p>
      <w:pPr>
        <w:spacing w:line="400" w:lineRule="exact"/>
        <w:ind w:firstLine="420" w:firstLineChars="200"/>
        <w:rPr>
          <w:rFonts w:hAnsi="宋体" w:eastAsia="宋体" w:cs="宋体"/>
          <w:szCs w:val="21"/>
        </w:rPr>
      </w:pPr>
      <w:r>
        <w:rPr>
          <w:rFonts w:hint="eastAsia" w:hAnsi="宋体" w:eastAsia="宋体" w:cs="宋体"/>
          <w:szCs w:val="21"/>
        </w:rPr>
        <w:t>⑶ 工程概况和评标重点的书面介绍、包括工程规模、结构形式、工程特点、技术要求、施工重点和难点、施工采用的新方法新工艺和新材料、招标文件与示范文本有较大变动的条款及评标办法等。</w:t>
      </w:r>
    </w:p>
    <w:p>
      <w:pPr>
        <w:spacing w:line="400" w:lineRule="exact"/>
        <w:ind w:firstLine="420" w:firstLineChars="200"/>
        <w:rPr>
          <w:rFonts w:hAnsi="宋体" w:eastAsia="宋体" w:cs="宋体"/>
          <w:szCs w:val="21"/>
        </w:rPr>
      </w:pPr>
      <w:r>
        <w:rPr>
          <w:rFonts w:hint="eastAsia" w:hAnsi="宋体" w:eastAsia="宋体" w:cs="宋体"/>
          <w:szCs w:val="21"/>
        </w:rPr>
        <w:t>3.1.3招投标小组应当认真研究招标文件，为满足评标需要。对招标文件中存在的问题的处理应由招投标小组成员讨论决定。招投标小组可以要求招标人对招标文件的内容作出澄清、说明，但澄清、说明不得改变招标文件的实质性内容。</w:t>
      </w:r>
    </w:p>
    <w:p>
      <w:pPr>
        <w:pStyle w:val="258"/>
        <w:rPr>
          <w:rFonts w:hAnsi="宋体" w:cs="宋体" w:asciiTheme="minorHAnsi"/>
          <w:b w:val="0"/>
          <w:bCs w:val="0"/>
          <w:szCs w:val="21"/>
        </w:rPr>
      </w:pPr>
      <w:r>
        <w:rPr>
          <w:rFonts w:hint="eastAsia" w:hAnsi="宋体" w:cs="宋体" w:asciiTheme="minorHAnsi"/>
          <w:b w:val="0"/>
          <w:bCs w:val="0"/>
          <w:szCs w:val="21"/>
        </w:rPr>
        <w:t>3.2初步评审</w:t>
      </w:r>
    </w:p>
    <w:p>
      <w:pPr>
        <w:spacing w:line="400" w:lineRule="exact"/>
        <w:ind w:firstLine="420" w:firstLineChars="200"/>
        <w:rPr>
          <w:rFonts w:hAnsi="宋体" w:eastAsia="宋体" w:cs="宋体"/>
          <w:szCs w:val="21"/>
        </w:rPr>
      </w:pPr>
      <w:r>
        <w:rPr>
          <w:rFonts w:hint="eastAsia" w:hAnsi="宋体" w:eastAsia="宋体" w:cs="宋体"/>
          <w:szCs w:val="21"/>
        </w:rPr>
        <w:t>3.2.1 招投标小组依据本章第2.1项规定的标准对投标文件进行初步评审。有一项不符合评审标准的，作无效投标文件处理。</w:t>
      </w:r>
    </w:p>
    <w:p>
      <w:pPr>
        <w:spacing w:line="400" w:lineRule="exact"/>
        <w:ind w:firstLine="420" w:firstLineChars="200"/>
        <w:rPr>
          <w:rFonts w:hAnsi="宋体" w:eastAsia="宋体" w:cs="宋体"/>
          <w:szCs w:val="21"/>
        </w:rPr>
      </w:pPr>
      <w:r>
        <w:rPr>
          <w:rFonts w:hint="eastAsia" w:hAnsi="宋体" w:eastAsia="宋体" w:cs="宋体"/>
          <w:szCs w:val="21"/>
        </w:rPr>
        <w:t>3.2.2  投标人有以下情形之一的，其投标作无效投标文件处理：</w:t>
      </w:r>
    </w:p>
    <w:p>
      <w:pPr>
        <w:spacing w:line="400" w:lineRule="exact"/>
        <w:ind w:firstLine="420" w:firstLineChars="200"/>
        <w:rPr>
          <w:rFonts w:hAnsi="宋体" w:eastAsia="宋体" w:cs="宋体"/>
          <w:szCs w:val="21"/>
        </w:rPr>
      </w:pPr>
      <w:r>
        <w:rPr>
          <w:rFonts w:hint="eastAsia" w:hAnsi="宋体" w:eastAsia="宋体" w:cs="宋体"/>
          <w:szCs w:val="21"/>
        </w:rPr>
        <w:t>（1）第二章“投标人须知”第 1.4.2 项规定的任何一种情形的；</w:t>
      </w:r>
    </w:p>
    <w:p>
      <w:pPr>
        <w:spacing w:line="400" w:lineRule="exact"/>
        <w:ind w:firstLine="420" w:firstLineChars="200"/>
        <w:rPr>
          <w:rFonts w:hAnsi="宋体" w:eastAsia="宋体" w:cs="宋体"/>
          <w:szCs w:val="21"/>
        </w:rPr>
      </w:pPr>
      <w:r>
        <w:rPr>
          <w:rFonts w:hint="eastAsia" w:hAnsi="宋体" w:eastAsia="宋体" w:cs="宋体"/>
          <w:szCs w:val="21"/>
        </w:rPr>
        <w:t>（2）串通投标或弄虚作假或有其他违法行为的；</w:t>
      </w:r>
    </w:p>
    <w:p>
      <w:pPr>
        <w:spacing w:line="400" w:lineRule="exact"/>
        <w:ind w:firstLine="420" w:firstLineChars="200"/>
        <w:rPr>
          <w:rFonts w:hAnsi="宋体" w:eastAsia="宋体" w:cs="宋体"/>
          <w:szCs w:val="21"/>
        </w:rPr>
      </w:pPr>
      <w:r>
        <w:rPr>
          <w:rFonts w:hint="eastAsia" w:hAnsi="宋体" w:eastAsia="宋体" w:cs="宋体"/>
          <w:szCs w:val="21"/>
        </w:rPr>
        <w:t>（3）不按招投标小组要求澄清、说明或补正的；</w:t>
      </w:r>
    </w:p>
    <w:p>
      <w:pPr>
        <w:pStyle w:val="258"/>
      </w:pPr>
      <w:r>
        <w:rPr>
          <w:rFonts w:hint="eastAsia"/>
        </w:rPr>
        <w:t>3.3  详细评审</w:t>
      </w:r>
    </w:p>
    <w:p>
      <w:pPr>
        <w:spacing w:line="400" w:lineRule="exact"/>
        <w:ind w:firstLine="420" w:firstLineChars="200"/>
        <w:rPr>
          <w:rFonts w:hAnsi="宋体" w:eastAsia="宋体" w:cs="宋体"/>
          <w:szCs w:val="21"/>
        </w:rPr>
      </w:pPr>
      <w:r>
        <w:rPr>
          <w:rFonts w:hint="eastAsia" w:hAnsi="宋体" w:eastAsia="宋体" w:cs="宋体"/>
          <w:szCs w:val="21"/>
        </w:rPr>
        <w:t>3.3.1 招投标小组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招投标小组认定该投标人以低于成本报价竞标，其投标无效投标文件处理。</w:t>
      </w:r>
    </w:p>
    <w:p>
      <w:pPr>
        <w:spacing w:line="400" w:lineRule="exact"/>
        <w:ind w:firstLine="420" w:firstLineChars="200"/>
        <w:rPr>
          <w:rFonts w:hAnsi="宋体" w:eastAsia="宋体" w:cs="宋体"/>
          <w:szCs w:val="21"/>
        </w:rPr>
      </w:pPr>
      <w:r>
        <w:rPr>
          <w:rFonts w:hint="eastAsia" w:hAnsi="宋体" w:eastAsia="宋体" w:cs="宋体"/>
          <w:szCs w:val="21"/>
        </w:rPr>
        <w:t>3.3.2评标过程中，若评标委员依据招标文件的规定作出无效标或废标决定后，有效投标不足3个的，招投标小组应视投标情况，作出以下评标结论：</w:t>
      </w:r>
    </w:p>
    <w:p>
      <w:pPr>
        <w:spacing w:line="400" w:lineRule="exact"/>
        <w:ind w:firstLine="420" w:firstLineChars="200"/>
        <w:rPr>
          <w:rFonts w:hAnsi="宋体" w:eastAsia="宋体" w:cs="宋体"/>
          <w:szCs w:val="21"/>
        </w:rPr>
      </w:pPr>
      <w:r>
        <w:rPr>
          <w:rFonts w:hint="eastAsia" w:hAnsi="宋体" w:eastAsia="宋体" w:cs="宋体"/>
          <w:szCs w:val="21"/>
        </w:rPr>
        <w:t>⑴ 认为投标仍具有竞争力，推荐中标候选人；</w:t>
      </w:r>
    </w:p>
    <w:p>
      <w:pPr>
        <w:spacing w:line="400" w:lineRule="exact"/>
        <w:ind w:firstLine="420" w:firstLineChars="200"/>
        <w:rPr>
          <w:rFonts w:hAnsi="宋体" w:eastAsia="宋体" w:cs="宋体"/>
          <w:szCs w:val="21"/>
        </w:rPr>
      </w:pPr>
      <w:r>
        <w:rPr>
          <w:rFonts w:hint="eastAsia" w:hAnsi="宋体" w:eastAsia="宋体" w:cs="宋体"/>
          <w:szCs w:val="21"/>
        </w:rPr>
        <w:t>⑵ 认为投标缺乏竞争力，或者根据本文件认定为围标串标的，否决所有投标，建议招标人重新组织招标。</w:t>
      </w:r>
    </w:p>
    <w:p>
      <w:pPr>
        <w:pStyle w:val="258"/>
      </w:pPr>
      <w:r>
        <w:rPr>
          <w:rFonts w:hint="eastAsia"/>
        </w:rPr>
        <w:t>3.4 投标文件的澄清和补正</w:t>
      </w:r>
    </w:p>
    <w:p>
      <w:pPr>
        <w:spacing w:line="400" w:lineRule="exact"/>
        <w:ind w:firstLine="420" w:firstLineChars="200"/>
        <w:rPr>
          <w:rFonts w:hAnsi="宋体" w:eastAsia="宋体" w:cs="宋体"/>
          <w:szCs w:val="21"/>
        </w:rPr>
      </w:pPr>
      <w:r>
        <w:rPr>
          <w:rFonts w:hint="eastAsia" w:hAnsi="宋体" w:eastAsia="宋体" w:cs="宋体"/>
          <w:szCs w:val="21"/>
        </w:rPr>
        <w:t>3.4.1在评标过程中，招投标小组可以书面形式要求投标人对所提交投标文件中不明确的内容进行书面澄清或说明，或者对细微偏差进行补正。招投标小组不接受投标人主动提出的澄清、说明或补正。</w:t>
      </w:r>
    </w:p>
    <w:p>
      <w:pPr>
        <w:spacing w:line="400" w:lineRule="exact"/>
        <w:ind w:firstLine="420" w:firstLineChars="200"/>
        <w:rPr>
          <w:rFonts w:hAnsi="宋体" w:eastAsia="宋体" w:cs="宋体"/>
          <w:szCs w:val="21"/>
        </w:rPr>
      </w:pPr>
      <w:r>
        <w:rPr>
          <w:rFonts w:hint="eastAsia" w:hAnsi="宋体" w:eastAsia="宋体" w:cs="宋体"/>
          <w:szCs w:val="21"/>
        </w:rPr>
        <w:t>3.4.2 澄清、说明和补正不得改变投标文件的实质性内容（算术性错误修正的除外）。投标人的书面澄清、说明和补正属于投标文件的组成部分。</w:t>
      </w:r>
    </w:p>
    <w:p>
      <w:pPr>
        <w:spacing w:line="400" w:lineRule="exact"/>
        <w:ind w:firstLine="420" w:firstLineChars="200"/>
        <w:rPr>
          <w:rFonts w:hAnsi="宋体" w:eastAsia="宋体" w:cs="宋体"/>
          <w:szCs w:val="21"/>
        </w:rPr>
      </w:pPr>
      <w:r>
        <w:rPr>
          <w:rFonts w:hint="eastAsia" w:hAnsi="宋体" w:eastAsia="宋体" w:cs="宋体"/>
          <w:szCs w:val="21"/>
        </w:rPr>
        <w:t>3.4.3 招投标小组对投标人提交的澄清、说明或补正有疑问的，可以要求投标人进一步澄清、说明或补正，直至满足招投标小组的要求。</w:t>
      </w:r>
    </w:p>
    <w:p>
      <w:pPr>
        <w:spacing w:line="400" w:lineRule="exact"/>
        <w:ind w:firstLine="420" w:firstLineChars="200"/>
        <w:rPr>
          <w:rFonts w:hAnsi="宋体" w:eastAsia="宋体" w:cs="宋体"/>
          <w:szCs w:val="21"/>
        </w:rPr>
      </w:pPr>
      <w:r>
        <w:rPr>
          <w:rFonts w:hint="eastAsia" w:hAnsi="宋体" w:eastAsia="宋体" w:cs="宋体"/>
          <w:szCs w:val="21"/>
        </w:rPr>
        <w:t>3.4.4 凡超出招标文件规定的或给发包人带来未曾要求的利益的变化、偏差或其他因素在评标时不予考虑。</w:t>
      </w:r>
    </w:p>
    <w:p>
      <w:pPr>
        <w:spacing w:line="400" w:lineRule="exact"/>
        <w:ind w:firstLine="420" w:firstLineChars="200"/>
        <w:rPr>
          <w:rFonts w:hAnsi="宋体" w:eastAsia="宋体" w:cs="宋体"/>
          <w:szCs w:val="21"/>
        </w:rPr>
      </w:pPr>
      <w:r>
        <w:rPr>
          <w:rFonts w:hint="eastAsia" w:hAnsi="宋体" w:eastAsia="宋体" w:cs="宋体"/>
          <w:szCs w:val="21"/>
        </w:rPr>
        <w:t>3.4.5有下列情形之一的，有下列情形之一的，视为投标人相互串通投标：</w:t>
      </w:r>
    </w:p>
    <w:p>
      <w:pPr>
        <w:spacing w:line="400" w:lineRule="exact"/>
        <w:ind w:firstLine="420" w:firstLineChars="200"/>
        <w:rPr>
          <w:rFonts w:hAnsi="宋体" w:eastAsia="宋体" w:cs="宋体"/>
          <w:szCs w:val="21"/>
        </w:rPr>
      </w:pPr>
      <w:r>
        <w:rPr>
          <w:rFonts w:hint="eastAsia" w:hAnsi="宋体" w:eastAsia="宋体" w:cs="宋体"/>
          <w:szCs w:val="21"/>
        </w:rPr>
        <w:t>⑴ 不同投标人的投标文件内容存在非常一致的；</w:t>
      </w:r>
    </w:p>
    <w:p>
      <w:pPr>
        <w:spacing w:line="400" w:lineRule="exact"/>
        <w:ind w:firstLine="420" w:firstLineChars="200"/>
        <w:rPr>
          <w:rFonts w:hAnsi="宋体" w:eastAsia="宋体" w:cs="宋体"/>
          <w:szCs w:val="21"/>
        </w:rPr>
      </w:pPr>
      <w:r>
        <w:rPr>
          <w:rFonts w:hint="eastAsia" w:hAnsi="宋体" w:eastAsia="宋体" w:cs="宋体"/>
          <w:szCs w:val="21"/>
        </w:rPr>
        <w:t>⑵ 不同投标人的投标文件错漏之处一致的；</w:t>
      </w:r>
    </w:p>
    <w:p>
      <w:pPr>
        <w:spacing w:line="400" w:lineRule="exact"/>
        <w:ind w:firstLine="420" w:firstLineChars="200"/>
        <w:rPr>
          <w:rFonts w:hAnsi="宋体" w:eastAsia="宋体" w:cs="宋体"/>
          <w:szCs w:val="21"/>
        </w:rPr>
      </w:pPr>
      <w:r>
        <w:rPr>
          <w:rFonts w:hint="eastAsia" w:hAnsi="宋体" w:eastAsia="宋体" w:cs="宋体"/>
          <w:szCs w:val="21"/>
        </w:rPr>
        <w:t>⑶ 不同投标人的投标文件由同一单位或者同一个人编制的；</w:t>
      </w:r>
    </w:p>
    <w:p>
      <w:pPr>
        <w:spacing w:line="400" w:lineRule="exact"/>
        <w:ind w:firstLine="420" w:firstLineChars="200"/>
        <w:rPr>
          <w:rFonts w:hAnsi="宋体" w:eastAsia="宋体" w:cs="宋体"/>
          <w:szCs w:val="21"/>
        </w:rPr>
      </w:pPr>
      <w:r>
        <w:rPr>
          <w:rFonts w:hint="eastAsia" w:hAnsi="宋体" w:eastAsia="宋体" w:cs="宋体"/>
          <w:szCs w:val="21"/>
        </w:rPr>
        <w:t>⑷ 不同投标人的投标报价或报价组成异常一致或者呈规律性变化的；</w:t>
      </w:r>
    </w:p>
    <w:p>
      <w:pPr>
        <w:spacing w:line="400" w:lineRule="exact"/>
        <w:ind w:firstLine="420" w:firstLineChars="200"/>
        <w:rPr>
          <w:rFonts w:hAnsi="宋体" w:eastAsia="宋体" w:cs="宋体"/>
          <w:szCs w:val="21"/>
        </w:rPr>
      </w:pPr>
      <w:r>
        <w:rPr>
          <w:rFonts w:hint="eastAsia" w:hAnsi="宋体" w:eastAsia="宋体" w:cs="宋体"/>
          <w:szCs w:val="21"/>
        </w:rPr>
        <w:t>⑸ 不同投标人的投标文件载明的项目管理班子成员出现同一人的；</w:t>
      </w:r>
    </w:p>
    <w:p>
      <w:pPr>
        <w:spacing w:line="400" w:lineRule="exact"/>
        <w:ind w:firstLine="420" w:firstLineChars="200"/>
        <w:rPr>
          <w:rFonts w:hAnsi="宋体" w:eastAsia="宋体" w:cs="宋体"/>
          <w:szCs w:val="21"/>
        </w:rPr>
      </w:pPr>
      <w:r>
        <w:rPr>
          <w:rFonts w:hint="eastAsia" w:hAnsi="宋体" w:eastAsia="宋体" w:cs="宋体"/>
          <w:szCs w:val="21"/>
        </w:rPr>
        <w:t>⑹ 不同投标人的投标文件相互混装的；</w:t>
      </w:r>
    </w:p>
    <w:p>
      <w:pPr>
        <w:spacing w:line="400" w:lineRule="exact"/>
        <w:ind w:firstLine="420" w:firstLineChars="200"/>
        <w:rPr>
          <w:rFonts w:hAnsi="宋体" w:eastAsia="宋体" w:cs="宋体"/>
          <w:szCs w:val="21"/>
        </w:rPr>
      </w:pPr>
      <w:r>
        <w:rPr>
          <w:rFonts w:hint="eastAsia" w:hAnsi="宋体" w:eastAsia="宋体" w:cs="宋体"/>
          <w:szCs w:val="21"/>
        </w:rPr>
        <w:t>⑺ 不同投标人的投标文件由同一台电脑编制或者同一台附属设备打印的；</w:t>
      </w:r>
    </w:p>
    <w:p>
      <w:pPr>
        <w:spacing w:line="400" w:lineRule="exact"/>
        <w:ind w:firstLine="420" w:firstLineChars="200"/>
        <w:rPr>
          <w:rFonts w:hAnsi="宋体" w:eastAsia="宋体" w:cs="宋体"/>
          <w:szCs w:val="21"/>
        </w:rPr>
      </w:pPr>
      <w:r>
        <w:rPr>
          <w:rFonts w:hint="eastAsia" w:hAnsi="宋体" w:eastAsia="宋体" w:cs="宋体"/>
          <w:szCs w:val="21"/>
        </w:rPr>
        <w:t>⑻ 不同投标人委托同一单位或者个人办理投标事宜；</w:t>
      </w:r>
    </w:p>
    <w:p>
      <w:pPr>
        <w:spacing w:line="400" w:lineRule="exact"/>
        <w:ind w:firstLine="420" w:firstLineChars="200"/>
        <w:rPr>
          <w:rFonts w:hAnsi="宋体" w:eastAsia="宋体" w:cs="宋体"/>
          <w:szCs w:val="21"/>
        </w:rPr>
      </w:pPr>
      <w:r>
        <w:rPr>
          <w:rFonts w:hint="eastAsia" w:hAnsi="宋体" w:eastAsia="宋体" w:cs="宋体"/>
          <w:szCs w:val="21"/>
        </w:rPr>
        <w:t>⑼ 不同投标人使用同一个人或者企业资金交纳投标保证金的；</w:t>
      </w:r>
    </w:p>
    <w:p>
      <w:pPr>
        <w:spacing w:line="400" w:lineRule="exact"/>
        <w:ind w:firstLine="420" w:firstLineChars="200"/>
        <w:rPr>
          <w:rFonts w:hAnsi="宋体" w:eastAsia="宋体" w:cs="宋体"/>
          <w:szCs w:val="21"/>
        </w:rPr>
      </w:pPr>
      <w:r>
        <w:rPr>
          <w:rFonts w:hint="eastAsia" w:hAnsi="宋体" w:eastAsia="宋体" w:cs="宋体"/>
          <w:szCs w:val="21"/>
        </w:rPr>
        <w:t>⑽ 不同投标人的投标文件制作机器码相同或者投标文件创建标识码相同的；</w:t>
      </w:r>
    </w:p>
    <w:p>
      <w:pPr>
        <w:spacing w:line="400" w:lineRule="exact"/>
        <w:ind w:firstLine="420" w:firstLineChars="200"/>
        <w:rPr>
          <w:rFonts w:hAnsi="宋体" w:eastAsia="宋体" w:cs="宋体"/>
          <w:szCs w:val="21"/>
        </w:rPr>
      </w:pPr>
      <w:r>
        <w:rPr>
          <w:rFonts w:hint="eastAsia" w:hAnsi="宋体" w:eastAsia="宋体" w:cs="宋体"/>
          <w:szCs w:val="21"/>
        </w:rPr>
        <w:t>⑾不同投标人聘请同一个人为其投标提供技术或者经济咨询服务的，但招标工程本身要求专用专有技术的除外；</w:t>
      </w:r>
    </w:p>
    <w:p>
      <w:pPr>
        <w:spacing w:line="400" w:lineRule="exact"/>
        <w:ind w:firstLine="420" w:firstLineChars="200"/>
        <w:rPr>
          <w:rFonts w:hAnsi="宋体" w:eastAsia="宋体" w:cs="宋体"/>
          <w:szCs w:val="21"/>
        </w:rPr>
      </w:pPr>
      <w:r>
        <w:rPr>
          <w:rFonts w:hint="eastAsia" w:hAnsi="宋体" w:eastAsia="宋体" w:cs="宋体"/>
          <w:szCs w:val="21"/>
        </w:rPr>
        <w:fldChar w:fldCharType="begin"/>
      </w:r>
      <w:r>
        <w:rPr>
          <w:rFonts w:hint="eastAsia" w:hAnsi="宋体" w:eastAsia="宋体" w:cs="宋体"/>
          <w:szCs w:val="21"/>
        </w:rPr>
        <w:instrText xml:space="preserve"> = 12 \* GB2 \* MERGEFORMAT </w:instrText>
      </w:r>
      <w:r>
        <w:rPr>
          <w:rFonts w:hint="eastAsia" w:hAnsi="宋体" w:eastAsia="宋体" w:cs="宋体"/>
          <w:szCs w:val="21"/>
        </w:rPr>
        <w:fldChar w:fldCharType="separate"/>
      </w:r>
      <w:r>
        <w:rPr>
          <w:rFonts w:hint="eastAsia" w:hAnsi="宋体" w:eastAsia="宋体" w:cs="宋体"/>
          <w:szCs w:val="21"/>
        </w:rPr>
        <w:t>⑿</w:t>
      </w:r>
      <w:r>
        <w:rPr>
          <w:rFonts w:hint="eastAsia" w:hAnsi="宋体" w:eastAsia="宋体" w:cs="宋体"/>
          <w:szCs w:val="21"/>
        </w:rPr>
        <w:fldChar w:fldCharType="end"/>
      </w:r>
      <w:r>
        <w:rPr>
          <w:rFonts w:hint="eastAsia" w:hAnsi="宋体" w:eastAsia="宋体" w:cs="宋体"/>
          <w:szCs w:val="21"/>
        </w:rPr>
        <w:t>招投标小组认定的其他情形。</w:t>
      </w:r>
    </w:p>
    <w:p>
      <w:pPr>
        <w:pStyle w:val="258"/>
      </w:pPr>
      <w:r>
        <w:rPr>
          <w:rFonts w:hint="eastAsia"/>
        </w:rPr>
        <w:t>3.5  评标结果</w:t>
      </w:r>
    </w:p>
    <w:p>
      <w:pPr>
        <w:spacing w:line="400" w:lineRule="exact"/>
        <w:ind w:firstLine="420" w:firstLineChars="200"/>
        <w:rPr>
          <w:rFonts w:hAnsi="宋体" w:eastAsia="宋体" w:cs="宋体"/>
          <w:szCs w:val="21"/>
        </w:rPr>
      </w:pPr>
      <w:r>
        <w:rPr>
          <w:rFonts w:hint="eastAsia" w:hAnsi="宋体" w:eastAsia="宋体" w:cs="宋体"/>
          <w:szCs w:val="21"/>
        </w:rPr>
        <w:t>3.5.1除第二章“投标人须知”前附表授权直接确定中标人外，招投标小组按照综合得分由高到低的顺序推荐3名中标候选人，并标明排序。</w:t>
      </w:r>
    </w:p>
    <w:p>
      <w:pPr>
        <w:spacing w:line="400" w:lineRule="exact"/>
        <w:ind w:firstLine="420" w:firstLineChars="200"/>
        <w:rPr>
          <w:rFonts w:hAnsi="宋体" w:eastAsia="宋体" w:cs="宋体"/>
          <w:szCs w:val="21"/>
        </w:rPr>
      </w:pPr>
      <w:r>
        <w:rPr>
          <w:rFonts w:hint="eastAsia" w:hAnsi="宋体" w:eastAsia="宋体" w:cs="宋体"/>
          <w:szCs w:val="21"/>
        </w:rPr>
        <w:t>3.5.2 招投标小组完成评标后，应当向招标人提交书面评标报告。</w:t>
      </w:r>
    </w:p>
    <w:p>
      <w:pPr>
        <w:rPr>
          <w:rFonts w:ascii="宋体" w:hAnsi="宋体" w:eastAsia="宋体" w:cs="宋体"/>
        </w:rPr>
      </w:pPr>
      <w:r>
        <w:rPr>
          <w:rFonts w:hint="eastAsia" w:ascii="宋体" w:hAnsi="宋体" w:eastAsia="宋体" w:cs="宋体"/>
          <w:sz w:val="20"/>
        </w:rPr>
        <w:t xml:space="preserve"> </w:t>
      </w:r>
    </w:p>
    <w:p>
      <w:pPr>
        <w:rPr>
          <w:rFonts w:ascii="宋体" w:hAnsi="宋体" w:eastAsia="宋体" w:cs="宋体"/>
          <w:color w:val="000000"/>
        </w:rPr>
      </w:pPr>
      <w:r>
        <w:rPr>
          <w:rFonts w:hint="eastAsia" w:ascii="宋体" w:hAnsi="宋体" w:eastAsia="宋体" w:cs="宋体"/>
          <w:sz w:val="20"/>
        </w:rPr>
        <w:t xml:space="preserve"> </w:t>
      </w:r>
    </w:p>
    <w:bookmarkEnd w:id="243"/>
    <w:p>
      <w:pPr>
        <w:rPr>
          <w:rFonts w:ascii="宋体" w:hAnsi="宋体" w:cs="宋体"/>
          <w:b/>
          <w:bCs/>
          <w:color w:val="000000"/>
          <w:sz w:val="44"/>
          <w:szCs w:val="44"/>
        </w:rPr>
      </w:pPr>
      <w:bookmarkStart w:id="246" w:name="_Toc494527199"/>
      <w:bookmarkStart w:id="247" w:name="_Toc8644"/>
      <w:bookmarkStart w:id="248" w:name="_Toc456684186"/>
      <w:bookmarkStart w:id="249" w:name="_Toc12993"/>
      <w:bookmarkStart w:id="250" w:name="_Toc275703023"/>
      <w:r>
        <w:rPr>
          <w:rFonts w:hint="eastAsia" w:ascii="宋体" w:hAnsi="宋体" w:cs="宋体"/>
          <w:b/>
          <w:bCs/>
          <w:color w:val="000000"/>
          <w:sz w:val="44"/>
          <w:szCs w:val="44"/>
        </w:rPr>
        <w:t>第四章 合同条款及格</w:t>
      </w:r>
      <w:bookmarkEnd w:id="246"/>
      <w:bookmarkEnd w:id="247"/>
      <w:bookmarkEnd w:id="248"/>
      <w:bookmarkEnd w:id="249"/>
      <w:bookmarkStart w:id="251" w:name="EBe2ddece23e184ac1af900ae166e871e8"/>
    </w:p>
    <w:p>
      <w:pPr>
        <w:pStyle w:val="98"/>
        <w:spacing w:line="400" w:lineRule="exact"/>
        <w:ind w:firstLine="420" w:firstLineChars="200"/>
        <w:rPr>
          <w:rFonts w:ascii="宋体" w:hAnsi="宋体" w:cs="宋体"/>
          <w:b/>
          <w:bCs/>
          <w:color w:val="000000"/>
          <w:szCs w:val="21"/>
        </w:rPr>
      </w:pPr>
      <w:r>
        <w:rPr>
          <w:rFonts w:hint="eastAsia" w:ascii="宋体" w:hAnsi="宋体" w:cs="宋体"/>
          <w:color w:val="000000"/>
          <w:szCs w:val="21"/>
        </w:rPr>
        <w:t>参考《建设工程施工合同》（示范文本）（GF-2017-0201）及政府专用合同</w:t>
      </w:r>
    </w:p>
    <w:p>
      <w:pPr>
        <w:pStyle w:val="98"/>
        <w:jc w:val="center"/>
        <w:rPr>
          <w:rFonts w:ascii="宋体" w:hAnsi="宋体" w:cs="宋体"/>
          <w:color w:val="000000"/>
          <w:sz w:val="44"/>
          <w:szCs w:val="44"/>
        </w:rPr>
      </w:pPr>
    </w:p>
    <w:bookmarkEnd w:id="251"/>
    <w:p>
      <w:pPr>
        <w:rPr>
          <w:rFonts w:ascii="宋体" w:hAnsi="宋体" w:eastAsia="宋体" w:cs="宋体"/>
          <w:b/>
          <w:bCs/>
          <w:sz w:val="44"/>
          <w:szCs w:val="44"/>
        </w:rPr>
      </w:pPr>
      <w:bookmarkStart w:id="252" w:name="_Toc494527200"/>
      <w:bookmarkStart w:id="253" w:name="_Toc17845"/>
      <w:bookmarkStart w:id="254" w:name="_Toc456684187"/>
      <w:bookmarkStart w:id="255" w:name="_Toc14813"/>
      <w:r>
        <w:rPr>
          <w:rFonts w:hint="eastAsia" w:ascii="宋体" w:hAnsi="宋体" w:eastAsia="宋体" w:cs="宋体"/>
          <w:b/>
          <w:bCs/>
          <w:color w:val="000000"/>
          <w:sz w:val="44"/>
          <w:szCs w:val="44"/>
        </w:rPr>
        <w:t>第五章   工程量清单</w:t>
      </w:r>
      <w:bookmarkEnd w:id="250"/>
      <w:bookmarkEnd w:id="252"/>
      <w:bookmarkEnd w:id="253"/>
      <w:bookmarkEnd w:id="254"/>
      <w:bookmarkEnd w:id="255"/>
    </w:p>
    <w:p>
      <w:pPr>
        <w:textAlignment w:val="baseline"/>
        <w:rPr>
          <w:rFonts w:ascii="宋体" w:hAnsi="宋体" w:eastAsia="宋体" w:cs="宋体"/>
          <w:b/>
          <w:color w:val="000000"/>
          <w:sz w:val="36"/>
          <w:szCs w:val="36"/>
        </w:rPr>
      </w:pPr>
      <w:r>
        <w:rPr>
          <w:rFonts w:hint="eastAsia" w:ascii="宋体" w:hAnsi="宋体" w:eastAsia="宋体" w:cs="宋体"/>
          <w:color w:val="000000"/>
          <w:szCs w:val="21"/>
        </w:rPr>
        <w:t>详见附件</w:t>
      </w:r>
    </w:p>
    <w:p>
      <w:pPr>
        <w:pStyle w:val="4"/>
        <w:rPr>
          <w:rFonts w:ascii="宋体" w:hAnsi="宋体" w:cs="宋体"/>
          <w:b w:val="0"/>
          <w:color w:val="000000"/>
          <w:sz w:val="32"/>
          <w:szCs w:val="32"/>
        </w:rPr>
      </w:pPr>
      <w:bookmarkStart w:id="256" w:name="_Toc456684188"/>
      <w:bookmarkStart w:id="257" w:name="_Toc275703024"/>
      <w:bookmarkStart w:id="258" w:name="_Toc494527201"/>
      <w:bookmarkStart w:id="259" w:name="_Toc14003"/>
      <w:bookmarkStart w:id="260" w:name="_Toc16948"/>
      <w:r>
        <w:rPr>
          <w:rFonts w:hint="eastAsia" w:ascii="宋体" w:hAnsi="宋体" w:cs="宋体"/>
          <w:color w:val="000000"/>
        </w:rPr>
        <w:t>第六章</w:t>
      </w:r>
      <w:bookmarkEnd w:id="256"/>
      <w:bookmarkEnd w:id="257"/>
      <w:bookmarkEnd w:id="258"/>
      <w:bookmarkStart w:id="261" w:name="_Toc494527202"/>
      <w:bookmarkStart w:id="262" w:name="_Toc275703025"/>
      <w:bookmarkStart w:id="263" w:name="_Toc456684189"/>
      <w:bookmarkStart w:id="264" w:name="_Toc203303043"/>
      <w:bookmarkStart w:id="265" w:name="_Toc275703026"/>
      <w:r>
        <w:rPr>
          <w:rFonts w:hint="eastAsia" w:ascii="宋体" w:hAnsi="宋体" w:cs="宋体"/>
          <w:b w:val="0"/>
          <w:color w:val="000000"/>
          <w:sz w:val="32"/>
          <w:szCs w:val="32"/>
        </w:rPr>
        <w:t xml:space="preserve">   </w:t>
      </w:r>
      <w:r>
        <w:rPr>
          <w:rFonts w:hint="eastAsia" w:ascii="宋体" w:hAnsi="宋体" w:cs="宋体"/>
          <w:color w:val="000000"/>
        </w:rPr>
        <w:t>技术规范</w:t>
      </w:r>
      <w:bookmarkEnd w:id="259"/>
      <w:bookmarkEnd w:id="260"/>
      <w:bookmarkEnd w:id="261"/>
      <w:bookmarkEnd w:id="262"/>
      <w:bookmarkEnd w:id="263"/>
      <w:r>
        <w:rPr>
          <w:rFonts w:hint="eastAsia" w:ascii="宋体" w:hAnsi="宋体" w:cs="宋体"/>
          <w:color w:val="000000"/>
        </w:rPr>
        <w:t>及相关要求</w:t>
      </w:r>
    </w:p>
    <w:p>
      <w:pPr>
        <w:pStyle w:val="279"/>
        <w:ind w:firstLine="560" w:firstLineChars="200"/>
        <w:rPr>
          <w:rFonts w:ascii="宋体" w:hAnsi="宋体" w:cs="宋体"/>
          <w:color w:val="000000"/>
          <w:sz w:val="28"/>
          <w:szCs w:val="28"/>
        </w:rPr>
      </w:pPr>
      <w:bookmarkStart w:id="266" w:name="EBac123741557e46d3a88fb82e5e13feb4"/>
      <w:r>
        <w:rPr>
          <w:rFonts w:hint="eastAsia" w:ascii="宋体" w:hAnsi="宋体" w:cs="宋体"/>
          <w:color w:val="000000"/>
          <w:sz w:val="28"/>
          <w:szCs w:val="28"/>
        </w:rPr>
        <w:t>本章节由招标人根据国家行业和地方现行标准、规范和规程等，以及项目具体情况摘录。</w:t>
      </w:r>
    </w:p>
    <w:p>
      <w:pPr>
        <w:pStyle w:val="279"/>
        <w:ind w:firstLine="560" w:firstLineChars="200"/>
        <w:rPr>
          <w:rFonts w:ascii="宋体" w:hAnsi="宋体" w:cs="宋体"/>
          <w:color w:val="000000"/>
          <w:sz w:val="28"/>
          <w:szCs w:val="28"/>
        </w:rPr>
      </w:pPr>
      <w:r>
        <w:rPr>
          <w:rFonts w:hint="eastAsia" w:ascii="宋体" w:hAnsi="宋体" w:cs="宋体"/>
          <w:color w:val="000000"/>
          <w:sz w:val="28"/>
          <w:szCs w:val="28"/>
        </w:rPr>
        <w:t>根据扫测图纸对码头1-3#泊位下方及后延进行清淤，长江码头下方及后延清淤要求：清淤后水深达到理论基准面-10m，标高由枯水平台往江中心方向放坡，坡比1:5，放坡至码头前沿边缘。</w:t>
      </w:r>
    </w:p>
    <w:bookmarkEnd w:id="264"/>
    <w:bookmarkEnd w:id="265"/>
    <w:bookmarkEnd w:id="266"/>
    <w:p>
      <w:pPr>
        <w:jc w:val="right"/>
        <w:rPr>
          <w:rFonts w:ascii="宋体" w:hAnsi="宋体" w:eastAsia="宋体" w:cs="宋体"/>
          <w:color w:val="000000"/>
          <w:spacing w:val="30"/>
          <w:sz w:val="32"/>
        </w:rPr>
      </w:pPr>
    </w:p>
    <w:p>
      <w:pPr>
        <w:ind w:firstLine="8740" w:firstLineChars="2300"/>
        <w:rPr>
          <w:rFonts w:ascii="宋体" w:hAnsi="宋体" w:eastAsia="宋体" w:cs="宋体"/>
          <w:color w:val="000000"/>
          <w:spacing w:val="30"/>
          <w:sz w:val="32"/>
        </w:rPr>
      </w:pPr>
    </w:p>
    <w:p>
      <w:pPr>
        <w:pStyle w:val="2"/>
        <w:ind w:firstLine="0"/>
        <w:rPr>
          <w:rFonts w:ascii="宋体" w:hAnsi="宋体" w:cs="宋体"/>
          <w:color w:val="000000"/>
          <w:spacing w:val="30"/>
          <w:sz w:val="32"/>
        </w:rPr>
      </w:pPr>
    </w:p>
    <w:p>
      <w:pPr>
        <w:keepNext/>
        <w:keepLines/>
        <w:spacing w:before="340" w:after="330" w:line="576" w:lineRule="auto"/>
        <w:outlineLvl w:val="0"/>
        <w:rPr>
          <w:rFonts w:hint="eastAsia" w:ascii="宋体" w:hAnsi="宋体" w:eastAsia="宋体" w:cs="宋体"/>
          <w:b/>
          <w:color w:val="000000"/>
          <w:kern w:val="44"/>
          <w:sz w:val="44"/>
          <w:szCs w:val="20"/>
        </w:rPr>
      </w:pPr>
      <w:bookmarkStart w:id="267" w:name="_Toc26805"/>
      <w:bookmarkStart w:id="268" w:name="_Toc1375"/>
      <w:bookmarkStart w:id="269" w:name="_Toc494527203"/>
      <w:bookmarkStart w:id="270" w:name="_Toc456684190"/>
    </w:p>
    <w:p>
      <w:pPr>
        <w:keepNext/>
        <w:keepLines/>
        <w:spacing w:before="340" w:after="330" w:line="576" w:lineRule="auto"/>
        <w:outlineLvl w:val="0"/>
        <w:rPr>
          <w:rFonts w:ascii="Calibri" w:hAnsi="Calibri" w:eastAsia="宋体" w:cs="Times New Roman"/>
          <w:b/>
          <w:kern w:val="44"/>
          <w:sz w:val="44"/>
          <w:szCs w:val="20"/>
        </w:rPr>
      </w:pPr>
      <w:r>
        <w:rPr>
          <w:rFonts w:hint="eastAsia" w:ascii="宋体" w:hAnsi="宋体" w:eastAsia="宋体" w:cs="宋体"/>
          <w:b/>
          <w:color w:val="000000"/>
          <w:kern w:val="44"/>
          <w:sz w:val="44"/>
          <w:szCs w:val="20"/>
        </w:rPr>
        <w:t>第七章</w:t>
      </w:r>
      <w:r>
        <w:rPr>
          <w:rFonts w:hint="eastAsia" w:ascii="宋体" w:hAnsi="宋体" w:eastAsia="宋体" w:cs="宋体"/>
          <w:color w:val="000000"/>
          <w:kern w:val="44"/>
          <w:sz w:val="32"/>
          <w:szCs w:val="32"/>
        </w:rPr>
        <w:t xml:space="preserve">   </w:t>
      </w:r>
      <w:r>
        <w:rPr>
          <w:rFonts w:hint="eastAsia" w:ascii="宋体" w:hAnsi="宋体" w:eastAsia="宋体" w:cs="宋体"/>
          <w:b/>
          <w:color w:val="000000"/>
          <w:kern w:val="44"/>
          <w:sz w:val="44"/>
          <w:szCs w:val="20"/>
        </w:rPr>
        <w:t>投标文件格式</w:t>
      </w:r>
      <w:bookmarkEnd w:id="267"/>
      <w:bookmarkEnd w:id="268"/>
      <w:bookmarkEnd w:id="269"/>
      <w:bookmarkEnd w:id="270"/>
    </w:p>
    <w:p>
      <w:pPr>
        <w:pStyle w:val="2"/>
        <w:rPr>
          <w:rFonts w:ascii="宋体" w:hAnsi="宋体" w:cs="宋体"/>
          <w:color w:val="000000"/>
          <w:spacing w:val="30"/>
          <w:sz w:val="32"/>
        </w:rPr>
      </w:pPr>
    </w:p>
    <w:p>
      <w:pPr>
        <w:jc w:val="right"/>
        <w:rPr>
          <w:rFonts w:ascii="宋体" w:hAnsi="宋体" w:eastAsia="宋体" w:cs="宋体"/>
          <w:color w:val="000000"/>
          <w:spacing w:val="30"/>
          <w:sz w:val="32"/>
        </w:rPr>
      </w:pPr>
      <w:r>
        <w:rPr>
          <w:rFonts w:hint="eastAsia" w:ascii="宋体" w:hAnsi="宋体" w:eastAsia="宋体" w:cs="宋体"/>
          <w:color w:val="000000"/>
          <w:spacing w:val="30"/>
          <w:sz w:val="32"/>
        </w:rPr>
        <w:t>正(副)本</w:t>
      </w:r>
    </w:p>
    <w:p>
      <w:pPr>
        <w:rPr>
          <w:rFonts w:ascii="宋体" w:hAnsi="宋体" w:eastAsia="宋体" w:cs="宋体"/>
          <w:color w:val="000000"/>
          <w:spacing w:val="30"/>
          <w:sz w:val="36"/>
          <w:u w:val="single"/>
        </w:rPr>
      </w:pPr>
    </w:p>
    <w:p>
      <w:pPr>
        <w:jc w:val="center"/>
        <w:rPr>
          <w:rFonts w:ascii="宋体" w:hAnsi="宋体" w:eastAsia="宋体" w:cs="宋体"/>
          <w:color w:val="000000"/>
          <w:sz w:val="48"/>
        </w:rPr>
      </w:pPr>
    </w:p>
    <w:p>
      <w:pPr>
        <w:pStyle w:val="20"/>
        <w:spacing w:line="360" w:lineRule="auto"/>
        <w:jc w:val="center"/>
        <w:rPr>
          <w:rFonts w:ascii="宋体" w:hAnsi="宋体" w:eastAsia="宋体" w:cs="宋体"/>
          <w:b/>
          <w:color w:val="000000"/>
          <w:sz w:val="44"/>
          <w:szCs w:val="44"/>
        </w:rPr>
      </w:pPr>
      <w:r>
        <w:rPr>
          <w:rFonts w:hint="eastAsia" w:ascii="宋体" w:hAnsi="宋体" w:eastAsia="宋体" w:cs="宋体"/>
          <w:b/>
          <w:color w:val="000000"/>
          <w:sz w:val="44"/>
          <w:szCs w:val="44"/>
          <w:u w:val="single"/>
        </w:rPr>
        <w:t xml:space="preserve">                    </w:t>
      </w:r>
      <w:r>
        <w:rPr>
          <w:rFonts w:hint="eastAsia" w:ascii="宋体" w:hAnsi="宋体" w:eastAsia="宋体" w:cs="宋体"/>
          <w:b/>
          <w:color w:val="000000"/>
          <w:sz w:val="44"/>
          <w:szCs w:val="44"/>
        </w:rPr>
        <w:t>工程</w:t>
      </w:r>
    </w:p>
    <w:p>
      <w:pPr>
        <w:pStyle w:val="20"/>
        <w:spacing w:line="360" w:lineRule="auto"/>
        <w:rPr>
          <w:rFonts w:ascii="宋体" w:hAnsi="宋体" w:eastAsia="宋体" w:cs="宋体"/>
          <w:b/>
          <w:color w:val="000000"/>
          <w:sz w:val="44"/>
          <w:szCs w:val="44"/>
          <w:u w:val="single"/>
        </w:rPr>
      </w:pPr>
      <w:r>
        <w:rPr>
          <w:rFonts w:hint="eastAsia" w:ascii="宋体" w:hAnsi="宋体" w:eastAsia="宋体" w:cs="宋体"/>
          <w:b/>
          <w:color w:val="000000"/>
          <w:sz w:val="44"/>
          <w:szCs w:val="44"/>
        </w:rPr>
        <w:t xml:space="preserve">         </w:t>
      </w:r>
    </w:p>
    <w:p>
      <w:pPr>
        <w:spacing w:line="360" w:lineRule="auto"/>
        <w:jc w:val="center"/>
        <w:rPr>
          <w:rFonts w:ascii="宋体" w:hAnsi="宋体" w:eastAsia="宋体" w:cs="宋体"/>
          <w:b/>
          <w:color w:val="000000"/>
          <w:sz w:val="44"/>
          <w:szCs w:val="44"/>
        </w:rPr>
      </w:pPr>
    </w:p>
    <w:p>
      <w:pPr>
        <w:spacing w:line="360" w:lineRule="auto"/>
        <w:jc w:val="center"/>
        <w:rPr>
          <w:rFonts w:ascii="宋体" w:hAnsi="宋体" w:eastAsia="宋体" w:cs="宋体"/>
          <w:b/>
          <w:color w:val="000000"/>
          <w:sz w:val="76"/>
        </w:rPr>
      </w:pPr>
    </w:p>
    <w:p>
      <w:pPr>
        <w:spacing w:line="360" w:lineRule="auto"/>
        <w:jc w:val="center"/>
        <w:rPr>
          <w:rFonts w:ascii="宋体" w:hAnsi="宋体" w:eastAsia="宋体" w:cs="宋体"/>
          <w:b/>
          <w:color w:val="000000"/>
          <w:sz w:val="72"/>
          <w:szCs w:val="72"/>
        </w:rPr>
      </w:pPr>
      <w:bookmarkStart w:id="271" w:name="_Toc275703908"/>
      <w:r>
        <w:rPr>
          <w:rFonts w:hint="eastAsia" w:ascii="宋体" w:hAnsi="宋体" w:eastAsia="宋体" w:cs="宋体"/>
          <w:b/>
          <w:color w:val="000000"/>
          <w:sz w:val="72"/>
          <w:szCs w:val="72"/>
        </w:rPr>
        <w:t>投 标 文 件</w:t>
      </w:r>
      <w:bookmarkEnd w:id="271"/>
    </w:p>
    <w:p>
      <w:pPr>
        <w:rPr>
          <w:rFonts w:ascii="宋体" w:hAnsi="宋体" w:eastAsia="宋体" w:cs="宋体"/>
          <w:color w:val="000000"/>
          <w:spacing w:val="30"/>
          <w:sz w:val="36"/>
        </w:rPr>
      </w:pPr>
    </w:p>
    <w:p>
      <w:pPr>
        <w:jc w:val="center"/>
        <w:rPr>
          <w:rFonts w:ascii="宋体" w:hAnsi="宋体" w:eastAsia="宋体" w:cs="宋体"/>
          <w:color w:val="000000"/>
          <w:sz w:val="28"/>
        </w:rPr>
      </w:pPr>
    </w:p>
    <w:p>
      <w:pPr>
        <w:jc w:val="center"/>
        <w:rPr>
          <w:rFonts w:ascii="宋体" w:hAnsi="宋体" w:eastAsia="宋体" w:cs="宋体"/>
          <w:color w:val="000000"/>
          <w:sz w:val="28"/>
        </w:rPr>
      </w:pPr>
    </w:p>
    <w:p>
      <w:pPr>
        <w:jc w:val="center"/>
        <w:rPr>
          <w:rFonts w:ascii="宋体" w:hAnsi="宋体" w:eastAsia="宋体" w:cs="宋体"/>
          <w:color w:val="000000"/>
          <w:sz w:val="28"/>
        </w:rPr>
      </w:pPr>
      <w:bookmarkStart w:id="272" w:name="_Toc275703909"/>
    </w:p>
    <w:p>
      <w:pPr>
        <w:jc w:val="center"/>
        <w:rPr>
          <w:rFonts w:ascii="宋体" w:hAnsi="宋体" w:eastAsia="宋体" w:cs="宋体"/>
          <w:color w:val="000000"/>
          <w:sz w:val="28"/>
          <w:u w:val="single"/>
        </w:rPr>
      </w:pPr>
      <w:r>
        <w:rPr>
          <w:rFonts w:hint="eastAsia" w:ascii="宋体" w:hAnsi="宋体" w:eastAsia="宋体" w:cs="宋体"/>
          <w:color w:val="000000"/>
          <w:sz w:val="28"/>
        </w:rPr>
        <w:t>投标人：</w:t>
      </w:r>
      <w:r>
        <w:rPr>
          <w:rFonts w:hint="eastAsia" w:ascii="宋体" w:hAnsi="宋体" w:eastAsia="宋体" w:cs="宋体"/>
          <w:color w:val="000000"/>
          <w:sz w:val="28"/>
          <w:u w:val="single"/>
        </w:rPr>
        <w:t xml:space="preserve">     （全称并盖单位章）</w:t>
      </w:r>
      <w:bookmarkEnd w:id="272"/>
      <w:r>
        <w:rPr>
          <w:rFonts w:hint="eastAsia" w:ascii="宋体" w:hAnsi="宋体" w:eastAsia="宋体" w:cs="宋体"/>
          <w:color w:val="000000"/>
          <w:sz w:val="28"/>
          <w:u w:val="single"/>
        </w:rPr>
        <w:t xml:space="preserve">    </w:t>
      </w:r>
    </w:p>
    <w:p>
      <w:pPr>
        <w:jc w:val="center"/>
        <w:rPr>
          <w:rFonts w:ascii="宋体" w:hAnsi="宋体" w:eastAsia="宋体" w:cs="宋体"/>
          <w:color w:val="000000"/>
        </w:rPr>
      </w:pPr>
    </w:p>
    <w:p>
      <w:pPr>
        <w:jc w:val="center"/>
        <w:rPr>
          <w:rFonts w:ascii="宋体" w:hAnsi="宋体" w:eastAsia="宋体" w:cs="宋体"/>
          <w:color w:val="000000"/>
        </w:rPr>
      </w:pPr>
      <w:r>
        <w:rPr>
          <w:rFonts w:hint="eastAsia" w:ascii="宋体" w:hAnsi="宋体" w:eastAsia="宋体" w:cs="宋体"/>
          <w:color w:val="000000"/>
        </w:rPr>
        <w:t xml:space="preserve">       </w:t>
      </w:r>
    </w:p>
    <w:p>
      <w:pPr>
        <w:jc w:val="center"/>
        <w:rPr>
          <w:rFonts w:ascii="宋体" w:hAnsi="宋体" w:eastAsia="宋体" w:cs="宋体"/>
          <w:color w:val="000000"/>
          <w:sz w:val="28"/>
        </w:rPr>
      </w:pPr>
      <w:r>
        <w:rPr>
          <w:rFonts w:hint="eastAsia" w:ascii="宋体" w:hAnsi="宋体" w:eastAsia="宋体" w:cs="宋体"/>
          <w:color w:val="000000"/>
          <w:sz w:val="28"/>
          <w:u w:val="single"/>
        </w:rPr>
        <w:t xml:space="preserve">       </w:t>
      </w:r>
      <w:bookmarkStart w:id="273" w:name="_Toc275703910"/>
      <w:r>
        <w:rPr>
          <w:rFonts w:hint="eastAsia" w:ascii="宋体" w:hAnsi="宋体" w:eastAsia="宋体" w:cs="宋体"/>
          <w:color w:val="000000"/>
          <w:sz w:val="28"/>
        </w:rPr>
        <w:t>年</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月</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日</w:t>
      </w:r>
      <w:bookmarkEnd w:id="273"/>
      <w:bookmarkStart w:id="274" w:name="_Toc144974857"/>
      <w:bookmarkStart w:id="275" w:name="_Toc415754613"/>
      <w:bookmarkStart w:id="276" w:name="_Toc275703921"/>
      <w:bookmarkStart w:id="277" w:name="_Toc424137586"/>
      <w:bookmarkStart w:id="278" w:name="_Toc152042577"/>
      <w:bookmarkStart w:id="279" w:name="_Toc400611025"/>
      <w:bookmarkStart w:id="280" w:name="_Toc152045788"/>
      <w:bookmarkStart w:id="281" w:name="_Toc179632808"/>
      <w:bookmarkStart w:id="282" w:name="_Toc7433"/>
      <w:bookmarkStart w:id="283" w:name="_Toc400610946"/>
      <w:bookmarkStart w:id="284" w:name="_Toc430672691"/>
      <w:bookmarkStart w:id="285" w:name="_Toc127266013"/>
      <w:bookmarkStart w:id="286" w:name="_Toc110934843"/>
      <w:bookmarkStart w:id="287" w:name="_Toc203303044"/>
      <w:bookmarkStart w:id="288" w:name="_Toc158103912"/>
      <w:bookmarkStart w:id="289" w:name="_Toc145491911"/>
      <w:bookmarkStart w:id="290" w:name="_Toc127265867"/>
      <w:bookmarkStart w:id="291" w:name="_Toc127265361"/>
    </w:p>
    <w:bookmarkEnd w:id="274"/>
    <w:bookmarkEnd w:id="275"/>
    <w:bookmarkEnd w:id="276"/>
    <w:bookmarkEnd w:id="277"/>
    <w:bookmarkEnd w:id="278"/>
    <w:bookmarkEnd w:id="279"/>
    <w:bookmarkEnd w:id="280"/>
    <w:bookmarkEnd w:id="281"/>
    <w:bookmarkEnd w:id="282"/>
    <w:bookmarkEnd w:id="283"/>
    <w:bookmarkEnd w:id="284"/>
    <w:p>
      <w:pPr>
        <w:pStyle w:val="2"/>
      </w:pPr>
      <w:bookmarkStart w:id="292" w:name="_Toc496862798"/>
      <w:bookmarkStart w:id="293" w:name="_Toc25189"/>
      <w:bookmarkStart w:id="294" w:name="_Toc32275"/>
      <w:bookmarkStart w:id="295" w:name="_Toc5824"/>
      <w:bookmarkStart w:id="296" w:name="_Toc25460"/>
      <w:bookmarkStart w:id="297" w:name="_Toc486918631"/>
      <w:bookmarkStart w:id="298" w:name="_Toc23933"/>
      <w:bookmarkStart w:id="299" w:name="_Toc431309127"/>
      <w:bookmarkStart w:id="300" w:name="_Toc403"/>
      <w:bookmarkStart w:id="301" w:name="_Toc497140245"/>
      <w:bookmarkStart w:id="302" w:name="_Toc275704002"/>
      <w:bookmarkStart w:id="303" w:name="_Toc152042584"/>
      <w:bookmarkStart w:id="304" w:name="_Toc179632815"/>
      <w:bookmarkStart w:id="305" w:name="_Toc144974863"/>
      <w:bookmarkStart w:id="306" w:name="_Toc152045795"/>
    </w:p>
    <w:p>
      <w:pPr>
        <w:pStyle w:val="4"/>
        <w:jc w:val="center"/>
        <w:rPr>
          <w:rFonts w:ascii="宋体" w:hAnsi="宋体" w:cs="宋体"/>
          <w:bCs/>
          <w:color w:val="000000"/>
          <w:sz w:val="28"/>
          <w:szCs w:val="28"/>
        </w:rPr>
      </w:pPr>
      <w:r>
        <w:rPr>
          <w:rFonts w:hint="eastAsia" w:ascii="宋体" w:hAnsi="宋体" w:cs="宋体"/>
          <w:bCs/>
          <w:color w:val="000000"/>
          <w:sz w:val="28"/>
          <w:szCs w:val="28"/>
        </w:rPr>
        <w:t>一、投标函</w:t>
      </w:r>
      <w:bookmarkEnd w:id="292"/>
      <w:bookmarkEnd w:id="293"/>
      <w:bookmarkEnd w:id="294"/>
      <w:bookmarkEnd w:id="295"/>
      <w:bookmarkEnd w:id="296"/>
      <w:bookmarkEnd w:id="297"/>
      <w:bookmarkEnd w:id="298"/>
      <w:bookmarkEnd w:id="299"/>
      <w:bookmarkEnd w:id="300"/>
      <w:bookmarkEnd w:id="301"/>
    </w:p>
    <w:p>
      <w:pPr>
        <w:pStyle w:val="28"/>
        <w:adjustRightInd w:val="0"/>
        <w:snapToGrid w:val="0"/>
        <w:spacing w:line="400" w:lineRule="exact"/>
        <w:rPr>
          <w:rFonts w:ascii="宋体" w:hAnsi="宋体" w:cs="宋体"/>
          <w:sz w:val="24"/>
          <w:u w:val="single"/>
        </w:rPr>
      </w:pPr>
      <w:r>
        <w:rPr>
          <w:rFonts w:hint="eastAsia" w:ascii="宋体" w:hAnsi="宋体" w:cs="宋体"/>
          <w:sz w:val="24"/>
          <w:szCs w:val="24"/>
        </w:rPr>
        <w:t>致</w:t>
      </w:r>
      <w:r>
        <w:rPr>
          <w:rFonts w:hint="eastAsia" w:ascii="宋体" w:hAnsi="宋体" w:cs="宋体"/>
          <w:color w:val="000000"/>
          <w:sz w:val="24"/>
          <w:szCs w:val="24"/>
          <w:u w:val="single"/>
        </w:rPr>
        <w:t>　</w:t>
      </w:r>
      <w:r>
        <w:rPr>
          <w:rFonts w:hint="eastAsia" w:ascii="宋体" w:hAnsi="宋体" w:cs="宋体"/>
          <w:sz w:val="24"/>
          <w:szCs w:val="24"/>
          <w:u w:val="single"/>
        </w:rPr>
        <w:t xml:space="preserve">                </w:t>
      </w:r>
      <w:r>
        <w:rPr>
          <w:rFonts w:hint="eastAsia" w:ascii="宋体" w:hAnsi="宋体" w:cs="宋体"/>
          <w:sz w:val="24"/>
          <w:szCs w:val="24"/>
        </w:rPr>
        <w:t>（招标人名称）</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1、根据已收到贵方的</w:t>
      </w:r>
      <w:r>
        <w:rPr>
          <w:rFonts w:hint="eastAsia" w:ascii="宋体" w:hAnsi="宋体" w:cs="宋体"/>
          <w:color w:val="000000"/>
          <w:sz w:val="24"/>
          <w:szCs w:val="24"/>
          <w:u w:val="single"/>
        </w:rPr>
        <w:t xml:space="preserve">                         </w:t>
      </w:r>
      <w:r>
        <w:rPr>
          <w:rFonts w:hint="eastAsia" w:ascii="宋体" w:hAnsi="宋体" w:cs="宋体"/>
          <w:sz w:val="24"/>
          <w:szCs w:val="24"/>
        </w:rPr>
        <w:t>工程的招标文件，并已详细审核了全部招标文件及有关附件。</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 xml:space="preserve">2、遵照《中华人民共和国招标投标法》、《江苏省招标投标条例》等有关规定， 经考察现场和研究上述工程招标文件的条款后，我方承诺：愿以 </w:t>
      </w:r>
      <w:r>
        <w:rPr>
          <w:rFonts w:hint="eastAsia" w:ascii="宋体" w:hAnsi="宋体" w:cs="宋体"/>
          <w:sz w:val="24"/>
          <w:szCs w:val="24"/>
          <w:u w:val="single"/>
        </w:rPr>
        <w:t xml:space="preserve">          </w:t>
      </w:r>
      <w:r>
        <w:rPr>
          <w:rFonts w:hint="eastAsia" w:ascii="宋体" w:hAnsi="宋体" w:cs="宋体"/>
          <w:sz w:val="24"/>
          <w:szCs w:val="24"/>
        </w:rPr>
        <w:t>的投标报价并按上述合同条款、标准和技术规范、实际图纸、实际工程量清单等要求承包上述工程的施工、竣工并修补其任何缺陷。</w:t>
      </w:r>
    </w:p>
    <w:p>
      <w:pPr>
        <w:pStyle w:val="28"/>
        <w:adjustRightInd w:val="0"/>
        <w:snapToGrid w:val="0"/>
        <w:spacing w:line="400" w:lineRule="exact"/>
        <w:ind w:firstLine="567"/>
        <w:rPr>
          <w:rFonts w:ascii="宋体" w:hAnsi="宋体" w:cs="宋体"/>
          <w:color w:val="000000"/>
          <w:sz w:val="24"/>
          <w:szCs w:val="24"/>
          <w:u w:val="single"/>
        </w:rPr>
      </w:pPr>
      <w:r>
        <w:rPr>
          <w:rFonts w:hint="eastAsia" w:ascii="宋体" w:hAnsi="宋体" w:cs="宋体"/>
          <w:sz w:val="24"/>
          <w:szCs w:val="24"/>
        </w:rPr>
        <w:t>3、如果我方中标，我方保证按招标文件中规定的日期，在</w:t>
      </w:r>
      <w:r>
        <w:rPr>
          <w:rFonts w:hint="eastAsia" w:ascii="宋体" w:hAnsi="宋体" w:cs="宋体"/>
          <w:sz w:val="24"/>
          <w:szCs w:val="24"/>
          <w:u w:val="single"/>
        </w:rPr>
        <w:t xml:space="preserve">       </w:t>
      </w:r>
      <w:r>
        <w:rPr>
          <w:rFonts w:hint="eastAsia" w:ascii="宋体" w:hAnsi="宋体" w:cs="宋体"/>
          <w:sz w:val="24"/>
          <w:szCs w:val="24"/>
        </w:rPr>
        <w:t>工作日完成并移交本工程，</w:t>
      </w:r>
      <w:r>
        <w:rPr>
          <w:rFonts w:hint="eastAsia" w:ascii="宋体" w:hAnsi="宋体" w:cs="宋体"/>
          <w:b/>
          <w:sz w:val="24"/>
          <w:szCs w:val="24"/>
        </w:rPr>
        <w:t>质量标准达到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4、如果中标，我方将派出</w:t>
      </w:r>
      <w:r>
        <w:rPr>
          <w:rFonts w:hint="eastAsia" w:ascii="宋体" w:hAnsi="宋体" w:cs="宋体"/>
          <w:color w:val="000000"/>
          <w:sz w:val="24"/>
          <w:szCs w:val="24"/>
          <w:u w:val="single"/>
        </w:rPr>
        <w:t xml:space="preserve">          </w:t>
      </w:r>
      <w:r>
        <w:rPr>
          <w:rFonts w:hint="eastAsia" w:ascii="宋体" w:hAnsi="宋体" w:cs="宋体"/>
          <w:sz w:val="24"/>
          <w:szCs w:val="24"/>
        </w:rPr>
        <w:t>（项目负责人姓名）作为本工程项目负责人。</w:t>
      </w:r>
    </w:p>
    <w:p>
      <w:pPr>
        <w:pStyle w:val="28"/>
        <w:adjustRightInd w:val="0"/>
        <w:snapToGrid w:val="0"/>
        <w:spacing w:line="400" w:lineRule="exact"/>
        <w:rPr>
          <w:rFonts w:ascii="宋体" w:hAnsi="宋体" w:cs="宋体"/>
          <w:sz w:val="24"/>
          <w:szCs w:val="24"/>
        </w:rPr>
      </w:pPr>
      <w:r>
        <w:rPr>
          <w:rFonts w:ascii="宋体" w:hAnsi="宋体" w:cs="宋体"/>
          <w:sz w:val="24"/>
        </w:rPr>
        <w:t xml:space="preserve">    </w:t>
      </w:r>
      <w:r>
        <w:rPr>
          <w:rFonts w:hint="eastAsia" w:ascii="宋体" w:hAnsi="宋体" w:cs="宋体"/>
          <w:sz w:val="24"/>
        </w:rPr>
        <w:t>5</w:t>
      </w:r>
      <w:r>
        <w:rPr>
          <w:rFonts w:hint="eastAsia" w:ascii="宋体" w:hAnsi="宋体" w:cs="宋体"/>
          <w:sz w:val="24"/>
          <w:szCs w:val="24"/>
        </w:rPr>
        <w:t>、我方同意在自规定的开标日起</w:t>
      </w:r>
      <w:r>
        <w:rPr>
          <w:rFonts w:hint="eastAsia" w:ascii="宋体" w:hAnsi="宋体" w:cs="宋体"/>
          <w:sz w:val="24"/>
          <w:szCs w:val="24"/>
          <w:u w:val="single"/>
        </w:rPr>
        <w:t>　60　</w:t>
      </w:r>
      <w:r>
        <w:rPr>
          <w:rFonts w:hint="eastAsia" w:ascii="宋体" w:hAnsi="宋体" w:cs="宋体"/>
          <w:sz w:val="24"/>
          <w:szCs w:val="24"/>
        </w:rPr>
        <w:t>天的投标有效期内严格遵守本投标文件的各项承诺。在此期限届满之前，本投标文件始终对我方具有约束力，并随时接受中标。我方承诺在投标有效期内不修改、撤销投标文件。</w:t>
      </w:r>
    </w:p>
    <w:p>
      <w:pPr>
        <w:pStyle w:val="28"/>
        <w:adjustRightInd w:val="0"/>
        <w:snapToGrid w:val="0"/>
        <w:spacing w:line="40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6、除非另外达成协议并生效，贵方的中标通知书和本投标文件将成为约束双方的合同文件的组成部分。</w:t>
      </w: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投标人 (盖章)：</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单位地址：</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u w:val="single"/>
        </w:rPr>
      </w:pPr>
      <w:r>
        <w:rPr>
          <w:rFonts w:hint="eastAsia" w:ascii="宋体" w:hAnsi="宋体" w:cs="宋体"/>
          <w:sz w:val="24"/>
          <w:szCs w:val="24"/>
        </w:rPr>
        <w:t>法定代表人或其受权委托人(</w:t>
      </w:r>
      <w:r>
        <w:rPr>
          <w:rFonts w:hint="eastAsia" w:ascii="宋体" w:hAnsi="宋体" w:cs="宋体"/>
          <w:color w:val="FF0000"/>
          <w:sz w:val="24"/>
          <w:szCs w:val="24"/>
        </w:rPr>
        <w:t>签字</w:t>
      </w:r>
      <w:r>
        <w:rPr>
          <w:rFonts w:hint="eastAsia" w:ascii="宋体" w:hAnsi="宋体" w:cs="宋体"/>
          <w:sz w:val="24"/>
          <w:szCs w:val="24"/>
        </w:rPr>
        <w:t>)：</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邮政编码：</w:t>
      </w:r>
      <w:r>
        <w:rPr>
          <w:rFonts w:hint="eastAsia" w:ascii="宋体" w:hAnsi="宋体" w:cs="宋体"/>
          <w:color w:val="000000"/>
          <w:sz w:val="24"/>
          <w:szCs w:val="24"/>
          <w:u w:val="single"/>
        </w:rPr>
        <w:t xml:space="preserve">              </w:t>
      </w:r>
      <w:r>
        <w:rPr>
          <w:rFonts w:hint="eastAsia" w:ascii="宋体" w:hAnsi="宋体" w:cs="宋体"/>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传真：</w:t>
      </w:r>
      <w:r>
        <w:rPr>
          <w:rFonts w:hint="eastAsia" w:ascii="宋体" w:hAnsi="宋体" w:cs="宋体"/>
          <w:color w:val="000000"/>
          <w:sz w:val="24"/>
          <w:szCs w:val="24"/>
          <w:u w:val="single"/>
        </w:rPr>
        <w:t xml:space="preserve">                </w:t>
      </w:r>
    </w:p>
    <w:p>
      <w:pPr>
        <w:pStyle w:val="28"/>
        <w:adjustRightInd w:val="0"/>
        <w:snapToGrid w:val="0"/>
        <w:spacing w:line="400" w:lineRule="exact"/>
        <w:ind w:right="480" w:firstLine="360" w:firstLineChars="150"/>
        <w:rPr>
          <w:rFonts w:ascii="宋体" w:hAnsi="宋体" w:cs="宋体"/>
          <w:color w:val="000000"/>
          <w:sz w:val="24"/>
          <w:szCs w:val="24"/>
        </w:rPr>
      </w:pPr>
    </w:p>
    <w:p>
      <w:pPr>
        <w:pStyle w:val="28"/>
        <w:adjustRightInd w:val="0"/>
        <w:snapToGrid w:val="0"/>
        <w:spacing w:line="400" w:lineRule="exact"/>
        <w:ind w:right="480" w:firstLine="360" w:firstLineChars="150"/>
        <w:rPr>
          <w:rFonts w:ascii="宋体" w:hAnsi="宋体" w:cs="宋体"/>
          <w:sz w:val="24"/>
          <w:szCs w:val="24"/>
        </w:rPr>
      </w:pPr>
      <w:r>
        <w:rPr>
          <w:rFonts w:hint="eastAsia" w:ascii="宋体" w:hAnsi="宋体" w:cs="宋体"/>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日</w:t>
      </w: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jc w:val="center"/>
        <w:rPr>
          <w:rFonts w:ascii="宋体" w:hAnsi="宋体" w:eastAsia="宋体" w:cs="宋体"/>
          <w:b/>
          <w:bCs/>
          <w:color w:val="000000"/>
          <w:kern w:val="44"/>
          <w:sz w:val="28"/>
          <w:szCs w:val="28"/>
        </w:rPr>
      </w:pPr>
      <w:r>
        <w:rPr>
          <w:rFonts w:hint="eastAsia" w:ascii="宋体" w:hAnsi="宋体" w:eastAsia="宋体" w:cs="宋体"/>
          <w:b/>
          <w:bCs/>
          <w:color w:val="000000"/>
          <w:kern w:val="44"/>
          <w:sz w:val="28"/>
          <w:szCs w:val="28"/>
        </w:rPr>
        <w:t>二、授权委托书</w:t>
      </w:r>
      <w:bookmarkEnd w:id="302"/>
    </w:p>
    <w:p>
      <w:pPr>
        <w:spacing w:line="440" w:lineRule="exact"/>
        <w:rPr>
          <w:rFonts w:ascii="宋体" w:hAnsi="宋体" w:eastAsia="宋体" w:cs="宋体"/>
          <w:b/>
          <w:color w:val="000000"/>
          <w:sz w:val="24"/>
        </w:rPr>
      </w:pPr>
    </w:p>
    <w:p>
      <w:pPr>
        <w:topLinePunct/>
        <w:spacing w:line="480" w:lineRule="auto"/>
        <w:ind w:firstLine="420" w:firstLineChars="200"/>
        <w:rPr>
          <w:rFonts w:ascii="宋体" w:hAnsi="宋体" w:eastAsia="宋体" w:cs="宋体"/>
          <w:color w:val="000000"/>
        </w:rPr>
      </w:pPr>
      <w:bookmarkStart w:id="307" w:name="_Toc275704016"/>
      <w:r>
        <w:rPr>
          <w:rFonts w:hint="eastAsia" w:ascii="宋体" w:hAnsi="宋体" w:eastAsia="宋体" w:cs="宋体"/>
          <w:color w:val="000000"/>
        </w:rPr>
        <w:t>本人</w:t>
      </w:r>
      <w:r>
        <w:rPr>
          <w:rFonts w:hint="eastAsia" w:ascii="宋体" w:hAnsi="宋体" w:eastAsia="宋体" w:cs="宋体"/>
          <w:color w:val="000000"/>
          <w:u w:val="single"/>
        </w:rPr>
        <w:t xml:space="preserve">                  </w:t>
      </w:r>
      <w:r>
        <w:rPr>
          <w:rFonts w:hint="eastAsia" w:ascii="宋体" w:hAnsi="宋体" w:eastAsia="宋体" w:cs="宋体"/>
          <w:color w:val="000000"/>
        </w:rPr>
        <w:t>（姓名）系</w:t>
      </w:r>
      <w:r>
        <w:rPr>
          <w:rFonts w:hint="eastAsia" w:ascii="宋体" w:hAnsi="宋体" w:eastAsia="宋体" w:cs="宋体"/>
          <w:color w:val="000000"/>
          <w:u w:val="single"/>
        </w:rPr>
        <w:t xml:space="preserve">                           </w:t>
      </w:r>
      <w:r>
        <w:rPr>
          <w:rFonts w:hint="eastAsia" w:ascii="宋体" w:hAnsi="宋体" w:eastAsia="宋体" w:cs="宋体"/>
          <w:color w:val="000000"/>
        </w:rPr>
        <w:t>（投标人名称）的法定代表人，现委托</w:t>
      </w:r>
      <w:r>
        <w:rPr>
          <w:rFonts w:hint="eastAsia" w:ascii="宋体" w:hAnsi="宋体" w:eastAsia="宋体" w:cs="宋体"/>
          <w:color w:val="000000"/>
          <w:u w:val="single"/>
        </w:rPr>
        <w:t xml:space="preserve">                       </w:t>
      </w:r>
      <w:r>
        <w:rPr>
          <w:rFonts w:hint="eastAsia" w:ascii="宋体" w:hAnsi="宋体" w:eastAsia="宋体" w:cs="宋体"/>
          <w:color w:val="000000"/>
        </w:rPr>
        <w:t>为我方代理人。代理人根据授权，以我方名义签署、澄清、说明、补正、递交、撤回、修改</w:t>
      </w:r>
      <w:r>
        <w:rPr>
          <w:rFonts w:hint="eastAsia" w:ascii="宋体" w:hAnsi="宋体" w:eastAsia="宋体" w:cs="宋体"/>
          <w:color w:val="000000"/>
          <w:u w:val="single"/>
        </w:rPr>
        <w:t xml:space="preserve">                   </w:t>
      </w:r>
      <w:r>
        <w:rPr>
          <w:rFonts w:hint="eastAsia" w:ascii="宋体" w:hAnsi="宋体" w:eastAsia="宋体" w:cs="宋体"/>
          <w:color w:val="000000"/>
        </w:rPr>
        <w:t>（项目名称）施工投标文件、签订合同和处理有关事宜，其法律后果由我方承担。</w:t>
      </w:r>
      <w:bookmarkEnd w:id="307"/>
    </w:p>
    <w:p>
      <w:pPr>
        <w:spacing w:line="480" w:lineRule="auto"/>
        <w:rPr>
          <w:rFonts w:ascii="宋体" w:hAnsi="宋体" w:eastAsia="宋体" w:cs="宋体"/>
          <w:color w:val="000000"/>
        </w:rPr>
      </w:pPr>
      <w:r>
        <w:rPr>
          <w:rFonts w:hint="eastAsia" w:ascii="宋体" w:hAnsi="宋体" w:eastAsia="宋体" w:cs="宋体"/>
          <w:color w:val="000000"/>
        </w:rPr>
        <w:t xml:space="preserve">    </w:t>
      </w:r>
      <w:bookmarkStart w:id="308" w:name="_Toc275704017"/>
      <w:r>
        <w:rPr>
          <w:rFonts w:hint="eastAsia" w:ascii="宋体" w:hAnsi="宋体" w:eastAsia="宋体" w:cs="宋体"/>
          <w:color w:val="000000"/>
        </w:rPr>
        <w:t>委托期限：</w:t>
      </w:r>
      <w:r>
        <w:rPr>
          <w:rFonts w:hint="eastAsia" w:ascii="宋体" w:hAnsi="宋体" w:eastAsia="宋体" w:cs="宋体"/>
          <w:color w:val="000000"/>
          <w:u w:val="single"/>
        </w:rPr>
        <w:t xml:space="preserve">                      </w:t>
      </w:r>
      <w:r>
        <w:rPr>
          <w:rFonts w:hint="eastAsia" w:ascii="宋体" w:hAnsi="宋体" w:eastAsia="宋体" w:cs="宋体"/>
          <w:color w:val="000000"/>
        </w:rPr>
        <w:t>。</w:t>
      </w:r>
      <w:bookmarkEnd w:id="308"/>
    </w:p>
    <w:p>
      <w:pPr>
        <w:spacing w:line="480" w:lineRule="auto"/>
        <w:ind w:firstLine="420" w:firstLineChars="200"/>
        <w:rPr>
          <w:rFonts w:ascii="宋体" w:hAnsi="宋体" w:eastAsia="宋体" w:cs="宋体"/>
          <w:color w:val="000000"/>
        </w:rPr>
      </w:pPr>
      <w:bookmarkStart w:id="309" w:name="_Toc275704018"/>
      <w:r>
        <w:rPr>
          <w:rFonts w:hint="eastAsia" w:ascii="宋体" w:hAnsi="宋体" w:eastAsia="宋体" w:cs="宋体"/>
          <w:color w:val="000000"/>
        </w:rPr>
        <w:t>代理人无转委托权。</w:t>
      </w:r>
      <w:bookmarkEnd w:id="309"/>
    </w:p>
    <w:p>
      <w:pPr>
        <w:spacing w:line="480" w:lineRule="auto"/>
        <w:ind w:firstLine="420" w:firstLineChars="200"/>
        <w:rPr>
          <w:rFonts w:ascii="宋体" w:hAnsi="宋体" w:eastAsia="宋体" w:cs="宋体"/>
          <w:color w:val="0000FF"/>
        </w:rPr>
      </w:pPr>
      <w:bookmarkStart w:id="310" w:name="_Toc275704019"/>
      <w:r>
        <w:rPr>
          <w:rFonts w:hint="eastAsia" w:ascii="宋体" w:hAnsi="宋体" w:eastAsia="宋体" w:cs="宋体"/>
          <w:color w:val="0000FF"/>
        </w:rPr>
        <w:t>附：</w:t>
      </w:r>
      <w:bookmarkEnd w:id="310"/>
      <w:r>
        <w:rPr>
          <w:rFonts w:hint="eastAsia" w:ascii="宋体" w:hAnsi="宋体" w:eastAsia="宋体" w:cs="宋体"/>
          <w:color w:val="0000FF"/>
        </w:rPr>
        <w:t>代理人身份证</w:t>
      </w:r>
    </w:p>
    <w:p>
      <w:pPr>
        <w:spacing w:line="440" w:lineRule="exact"/>
        <w:rPr>
          <w:rFonts w:ascii="宋体" w:hAnsi="宋体" w:eastAsia="宋体" w:cs="宋体"/>
          <w:color w:val="000000"/>
        </w:rPr>
      </w:pPr>
    </w:p>
    <w:p>
      <w:pPr>
        <w:spacing w:line="440" w:lineRule="exact"/>
        <w:rPr>
          <w:rFonts w:ascii="宋体" w:hAnsi="宋体" w:eastAsia="宋体" w:cs="宋体"/>
          <w:color w:val="000000"/>
        </w:rPr>
      </w:pPr>
      <w:bookmarkStart w:id="311" w:name="_Toc275704020"/>
      <w:r>
        <w:rPr>
          <w:rFonts w:hint="eastAsia" w:ascii="宋体" w:hAnsi="宋体" w:eastAsia="宋体" w:cs="宋体"/>
          <w:color w:val="000000"/>
        </w:rPr>
        <w:t xml:space="preserve">                          投标人：</w:t>
      </w:r>
      <w:r>
        <w:rPr>
          <w:rFonts w:hint="eastAsia" w:ascii="宋体" w:hAnsi="宋体" w:eastAsia="宋体" w:cs="宋体"/>
          <w:color w:val="000000"/>
          <w:u w:val="single"/>
        </w:rPr>
        <w:t xml:space="preserve">                               </w:t>
      </w:r>
      <w:r>
        <w:rPr>
          <w:rFonts w:hint="eastAsia" w:ascii="宋体" w:hAnsi="宋体" w:eastAsia="宋体" w:cs="宋体"/>
          <w:color w:val="000000"/>
        </w:rPr>
        <w:t>（盖单位章）</w:t>
      </w:r>
      <w:bookmarkEnd w:id="311"/>
    </w:p>
    <w:p>
      <w:pPr>
        <w:spacing w:line="440" w:lineRule="exact"/>
        <w:jc w:val="right"/>
        <w:rPr>
          <w:rFonts w:ascii="宋体" w:hAnsi="宋体" w:eastAsia="宋体" w:cs="宋体"/>
          <w:color w:val="000000"/>
        </w:rPr>
      </w:pPr>
    </w:p>
    <w:p>
      <w:pPr>
        <w:spacing w:line="440" w:lineRule="exact"/>
        <w:jc w:val="right"/>
        <w:rPr>
          <w:rFonts w:ascii="宋体" w:hAnsi="宋体" w:eastAsia="宋体" w:cs="宋体"/>
          <w:color w:val="000000"/>
        </w:rPr>
      </w:pPr>
      <w:bookmarkStart w:id="312" w:name="_Toc275704021"/>
      <w:r>
        <w:rPr>
          <w:rFonts w:hint="eastAsia" w:ascii="宋体" w:hAnsi="宋体" w:eastAsia="宋体" w:cs="宋体"/>
          <w:color w:val="000000"/>
        </w:rPr>
        <w:t>法定代表人：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2"/>
    </w:p>
    <w:p>
      <w:pPr>
        <w:spacing w:line="440" w:lineRule="exact"/>
        <w:jc w:val="righ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bookmarkStart w:id="313" w:name="_Toc275704023"/>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3"/>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ind w:firstLine="2310" w:firstLineChars="1100"/>
        <w:jc w:val="right"/>
        <w:rPr>
          <w:rFonts w:ascii="宋体" w:hAnsi="宋体" w:eastAsia="宋体" w:cs="宋体"/>
          <w:color w:val="000000"/>
        </w:rPr>
      </w:pPr>
      <w:r>
        <w:rPr>
          <w:rFonts w:hint="eastAsia" w:ascii="宋体" w:hAnsi="宋体" w:eastAsia="宋体" w:cs="宋体"/>
          <w:color w:val="000000"/>
          <w:u w:val="single"/>
        </w:rPr>
        <w:t xml:space="preserve">      </w:t>
      </w:r>
      <w:bookmarkStart w:id="314" w:name="_Toc275704025"/>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bookmarkEnd w:id="314"/>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r>
        <w:rPr>
          <w:rFonts w:hint="eastAsia" w:ascii="宋体" w:hAnsi="宋体" w:eastAsia="宋体" w:cs="宋体"/>
          <w:color w:val="000000"/>
        </w:rPr>
        <w:t xml:space="preserve"> </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360" w:lineRule="auto"/>
        <w:rPr>
          <w:rFonts w:ascii="宋体" w:hAnsi="宋体" w:cs="宋体"/>
          <w:b/>
          <w:sz w:val="32"/>
          <w:szCs w:val="32"/>
        </w:rPr>
      </w:pPr>
    </w:p>
    <w:p>
      <w:pPr>
        <w:pStyle w:val="2"/>
      </w:pPr>
    </w:p>
    <w:p>
      <w:pPr>
        <w:spacing w:line="360" w:lineRule="auto"/>
        <w:jc w:val="center"/>
        <w:rPr>
          <w:rFonts w:ascii="宋体" w:hAnsi="宋体" w:eastAsia="宋体" w:cs="宋体"/>
          <w:b/>
          <w:sz w:val="32"/>
          <w:szCs w:val="32"/>
        </w:rPr>
      </w:pPr>
      <w:r>
        <w:rPr>
          <w:rFonts w:hint="eastAsia" w:ascii="宋体" w:hAnsi="宋体" w:cs="宋体"/>
          <w:b/>
          <w:sz w:val="32"/>
          <w:szCs w:val="32"/>
        </w:rPr>
        <w:t>三、法定代表人身份证明</w:t>
      </w:r>
    </w:p>
    <w:p>
      <w:pPr>
        <w:spacing w:line="360" w:lineRule="auto"/>
        <w:ind w:firstLine="480"/>
        <w:rPr>
          <w:rFonts w:ascii="宋体" w:hAnsi="宋体" w:cs="宋体"/>
          <w:sz w:val="24"/>
          <w:szCs w:val="24"/>
          <w:u w:val="single"/>
        </w:rPr>
      </w:pPr>
      <w:r>
        <w:rPr>
          <w:rFonts w:hint="eastAsia" w:ascii="宋体" w:hAnsi="宋体" w:cs="宋体"/>
          <w:sz w:val="24"/>
          <w:szCs w:val="24"/>
        </w:rPr>
        <w:t>投标人：</w:t>
      </w:r>
    </w:p>
    <w:p>
      <w:pPr>
        <w:spacing w:line="360" w:lineRule="auto"/>
        <w:ind w:firstLine="480"/>
        <w:rPr>
          <w:rFonts w:ascii="宋体" w:hAnsi="宋体" w:cs="宋体"/>
          <w:sz w:val="24"/>
          <w:szCs w:val="24"/>
          <w:u w:val="single"/>
        </w:rPr>
      </w:pPr>
      <w:r>
        <w:rPr>
          <w:rFonts w:hint="eastAsia" w:ascii="宋体" w:hAnsi="宋体" w:cs="宋体"/>
          <w:sz w:val="24"/>
          <w:szCs w:val="24"/>
        </w:rPr>
        <w:t>单位性质：</w:t>
      </w:r>
    </w:p>
    <w:p>
      <w:pPr>
        <w:spacing w:line="360" w:lineRule="auto"/>
        <w:ind w:firstLine="480"/>
        <w:rPr>
          <w:rFonts w:ascii="宋体" w:hAnsi="宋体" w:cs="宋体"/>
          <w:sz w:val="24"/>
          <w:szCs w:val="24"/>
          <w:u w:val="single"/>
        </w:rPr>
      </w:pPr>
      <w:r>
        <w:rPr>
          <w:rFonts w:hint="eastAsia" w:ascii="宋体" w:hAnsi="宋体" w:cs="宋体"/>
          <w:sz w:val="24"/>
          <w:szCs w:val="24"/>
        </w:rPr>
        <w:t>地址：</w:t>
      </w:r>
    </w:p>
    <w:p>
      <w:pPr>
        <w:spacing w:line="360" w:lineRule="auto"/>
        <w:ind w:firstLine="480"/>
        <w:rPr>
          <w:rFonts w:ascii="宋体" w:hAnsi="宋体" w:cs="宋体"/>
          <w:sz w:val="24"/>
          <w:szCs w:val="24"/>
          <w:u w:val="single"/>
        </w:rPr>
      </w:pPr>
      <w:r>
        <w:rPr>
          <w:rFonts w:hint="eastAsia" w:ascii="宋体" w:hAnsi="宋体" w:cs="宋体"/>
          <w:sz w:val="24"/>
          <w:szCs w:val="24"/>
        </w:rPr>
        <w:t>成立时间：</w:t>
      </w:r>
    </w:p>
    <w:p>
      <w:pPr>
        <w:spacing w:line="360" w:lineRule="auto"/>
        <w:ind w:firstLine="480"/>
        <w:rPr>
          <w:rFonts w:ascii="宋体" w:hAnsi="宋体" w:cs="宋体"/>
          <w:sz w:val="24"/>
          <w:szCs w:val="24"/>
          <w:u w:val="single"/>
        </w:rPr>
      </w:pPr>
      <w:r>
        <w:rPr>
          <w:rFonts w:hint="eastAsia" w:ascii="宋体" w:hAnsi="宋体" w:cs="宋体"/>
          <w:sz w:val="24"/>
          <w:szCs w:val="24"/>
        </w:rPr>
        <w:t>经营期限：</w:t>
      </w:r>
    </w:p>
    <w:p>
      <w:pPr>
        <w:spacing w:line="360" w:lineRule="auto"/>
        <w:ind w:firstLine="480"/>
        <w:rPr>
          <w:rFonts w:ascii="宋体" w:hAnsi="宋体" w:cs="宋体"/>
          <w:sz w:val="24"/>
          <w:szCs w:val="24"/>
          <w:u w:val="single"/>
        </w:rPr>
      </w:pPr>
      <w:r>
        <w:rPr>
          <w:rFonts w:hint="eastAsia" w:ascii="宋体" w:hAnsi="宋体" w:cs="宋体"/>
          <w:sz w:val="24"/>
          <w:szCs w:val="24"/>
        </w:rPr>
        <w:t>姓名：职务：</w:t>
      </w:r>
    </w:p>
    <w:p>
      <w:pPr>
        <w:spacing w:line="360" w:lineRule="auto"/>
        <w:ind w:firstLine="480"/>
        <w:rPr>
          <w:rFonts w:ascii="宋体" w:hAnsi="宋体" w:cs="宋体"/>
          <w:sz w:val="24"/>
          <w:szCs w:val="24"/>
        </w:rPr>
      </w:pPr>
      <w:r>
        <w:rPr>
          <w:rFonts w:hint="eastAsia" w:ascii="宋体" w:hAnsi="宋体" w:cs="宋体"/>
          <w:sz w:val="24"/>
          <w:szCs w:val="24"/>
        </w:rPr>
        <w:t xml:space="preserve">系  </w:t>
      </w:r>
      <w:r>
        <w:rPr>
          <w:rFonts w:hint="eastAsia" w:ascii="宋体" w:hAnsi="宋体" w:cs="宋体"/>
          <w:sz w:val="24"/>
          <w:szCs w:val="24"/>
          <w:u w:val="single"/>
        </w:rPr>
        <w:t>（投标人）</w:t>
      </w:r>
      <w:r>
        <w:rPr>
          <w:rFonts w:hint="eastAsia" w:ascii="宋体" w:hAnsi="宋体" w:cs="宋体"/>
          <w:sz w:val="24"/>
          <w:szCs w:val="24"/>
        </w:rPr>
        <w:t>的法定代表人。</w:t>
      </w:r>
    </w:p>
    <w:p>
      <w:pPr>
        <w:spacing w:line="360" w:lineRule="auto"/>
        <w:ind w:firstLine="480"/>
        <w:rPr>
          <w:rFonts w:ascii="宋体" w:hAnsi="宋体" w:cs="宋体"/>
          <w:sz w:val="24"/>
          <w:szCs w:val="24"/>
        </w:rPr>
      </w:pPr>
      <w:r>
        <w:rPr>
          <w:rFonts w:hint="eastAsia" w:ascii="宋体" w:hAnsi="宋体" w:cs="宋体"/>
          <w:sz w:val="24"/>
          <w:szCs w:val="24"/>
        </w:rPr>
        <w:t>特此证明。</w:t>
      </w:r>
    </w:p>
    <w:p>
      <w:pPr>
        <w:spacing w:line="360" w:lineRule="auto"/>
        <w:ind w:firstLine="480"/>
        <w:rPr>
          <w:rFonts w:ascii="宋体" w:hAnsi="宋体" w:cs="宋体"/>
          <w:color w:val="0000FF"/>
          <w:sz w:val="24"/>
          <w:szCs w:val="24"/>
        </w:rPr>
      </w:pPr>
    </w:p>
    <w:p>
      <w:pPr>
        <w:spacing w:line="360" w:lineRule="auto"/>
        <w:ind w:firstLine="480"/>
        <w:rPr>
          <w:rFonts w:ascii="宋体" w:hAnsi="宋体" w:cs="宋体"/>
          <w:color w:val="0000FF"/>
          <w:sz w:val="24"/>
          <w:szCs w:val="24"/>
        </w:rPr>
      </w:pPr>
      <w:r>
        <w:rPr>
          <w:rFonts w:hint="eastAsia" w:ascii="宋体" w:hAnsi="宋体" w:cs="宋体"/>
          <w:color w:val="0000FF"/>
          <w:sz w:val="24"/>
          <w:szCs w:val="24"/>
        </w:rPr>
        <w:t>附法人身份证</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pacing w:line="360" w:lineRule="auto"/>
        <w:ind w:firstLine="480"/>
        <w:jc w:val="right"/>
        <w:rPr>
          <w:rFonts w:ascii="宋体" w:hAnsi="宋体" w:cs="宋体"/>
          <w:sz w:val="24"/>
          <w:szCs w:val="24"/>
        </w:rPr>
      </w:pP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投标人（公章）：</w:t>
      </w: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日期：</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pStyle w:val="51"/>
      </w:pPr>
    </w:p>
    <w:bookmarkEnd w:id="285"/>
    <w:bookmarkEnd w:id="286"/>
    <w:bookmarkEnd w:id="287"/>
    <w:bookmarkEnd w:id="288"/>
    <w:bookmarkEnd w:id="289"/>
    <w:bookmarkEnd w:id="290"/>
    <w:bookmarkEnd w:id="291"/>
    <w:bookmarkEnd w:id="303"/>
    <w:bookmarkEnd w:id="304"/>
    <w:bookmarkEnd w:id="305"/>
    <w:bookmarkEnd w:id="306"/>
    <w:p>
      <w:pPr>
        <w:widowControl/>
        <w:spacing w:line="600" w:lineRule="exact"/>
        <w:jc w:val="center"/>
        <w:rPr>
          <w:rFonts w:ascii="宋体" w:hAnsi="宋体" w:eastAsia="宋体" w:cs="宋体"/>
          <w:b/>
          <w:bCs/>
          <w:color w:val="000000"/>
          <w:kern w:val="44"/>
          <w:sz w:val="28"/>
          <w:szCs w:val="28"/>
        </w:rPr>
      </w:pPr>
      <w:bookmarkStart w:id="315" w:name="_Toc378020179"/>
      <w:r>
        <w:rPr>
          <w:rFonts w:hint="eastAsia" w:ascii="宋体" w:hAnsi="宋体" w:eastAsia="宋体" w:cs="宋体"/>
          <w:b/>
          <w:bCs/>
          <w:color w:val="000000"/>
          <w:kern w:val="44"/>
          <w:sz w:val="28"/>
          <w:szCs w:val="28"/>
        </w:rPr>
        <w:t>四、诚信投标承诺书</w:t>
      </w:r>
      <w:bookmarkEnd w:id="315"/>
    </w:p>
    <w:p>
      <w:pPr>
        <w:spacing w:line="500" w:lineRule="exact"/>
        <w:rPr>
          <w:rFonts w:ascii="宋体" w:hAnsi="宋体" w:eastAsia="宋体" w:cs="宋体"/>
          <w:color w:val="000000"/>
          <w:szCs w:val="21"/>
        </w:rPr>
      </w:pPr>
      <w:r>
        <w:rPr>
          <w:rFonts w:hint="eastAsia" w:ascii="宋体" w:hAnsi="宋体" w:eastAsia="宋体" w:cs="宋体"/>
          <w:color w:val="000000"/>
          <w:szCs w:val="21"/>
        </w:rPr>
        <w:t>本公司承诺：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本单位自愿参加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工程项目的投标，本人以企业法定代表人的身份郑重承诺：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1、所提供的一切材料都是真实的；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2、不以他人名义投标或者以其他方式弄虚作假，骗取中标；</w:t>
      </w:r>
    </w:p>
    <w:p>
      <w:pPr>
        <w:tabs>
          <w:tab w:val="left" w:pos="360"/>
        </w:tabs>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3、不与其他投标人相互串通投标，不排挤其他投标人的公平竞争、损害招标人的合法权益；</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4、无恶意拖欠分包企业工程款或者农民工工资的行为,无因骗取中标或严重违约以及发生重大工程质量、安全生产事故等违法违规问题，被有关部门暂停投标资格并在暂停期内；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5、本企业和项目负责人无行贿犯罪记录；</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6、我公司不转包、违法分包中标项目，不外借资质；</w:t>
      </w:r>
    </w:p>
    <w:p>
      <w:pPr>
        <w:spacing w:line="440" w:lineRule="exact"/>
        <w:ind w:firstLine="315" w:firstLineChars="150"/>
        <w:rPr>
          <w:rFonts w:ascii="宋体" w:hAnsi="宋体" w:eastAsia="宋体" w:cs="宋体"/>
          <w:color w:val="000000"/>
          <w:szCs w:val="21"/>
        </w:rPr>
      </w:pPr>
      <w:r>
        <w:rPr>
          <w:rFonts w:hint="eastAsia" w:ascii="宋体" w:hAnsi="宋体" w:eastAsia="宋体" w:cs="宋体"/>
          <w:color w:val="000000"/>
          <w:szCs w:val="21"/>
        </w:rPr>
        <w:t>本单位若有违反承诺内容的行为或者经招投标小组认定有串通投标嫌疑的，愿承担违诺违规责任，并取消投标资格。如已中标的，自动取消中标资格；给招标人造成损失的，依法承担赔偿责任。</w:t>
      </w:r>
    </w:p>
    <w:p>
      <w:pPr>
        <w:spacing w:line="440" w:lineRule="exact"/>
        <w:ind w:firstLine="525" w:firstLineChars="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投标单位（公章）：</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 xml:space="preserve">                   </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法定代表人（签字）：</w:t>
      </w: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年   月    日</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napToGrid w:val="0"/>
        <w:spacing w:line="460" w:lineRule="exact"/>
        <w:jc w:val="center"/>
        <w:rPr>
          <w:rFonts w:asciiTheme="minorEastAsia" w:hAnsiTheme="minorEastAsia" w:cstheme="minorEastAsia"/>
          <w:b/>
          <w:bCs/>
          <w:sz w:val="28"/>
          <w:szCs w:val="28"/>
        </w:rPr>
      </w:pPr>
      <w:bookmarkStart w:id="316" w:name="_Toc302967427"/>
      <w:r>
        <w:rPr>
          <w:rFonts w:hint="eastAsia" w:asciiTheme="minorEastAsia" w:hAnsiTheme="minorEastAsia" w:cstheme="minorEastAsia"/>
          <w:b/>
          <w:bCs/>
          <w:sz w:val="28"/>
          <w:szCs w:val="28"/>
        </w:rPr>
        <w:t>三、开标一览表</w:t>
      </w:r>
      <w:bookmarkEnd w:id="316"/>
    </w:p>
    <w:p>
      <w:pPr>
        <w:snapToGrid w:val="0"/>
        <w:spacing w:line="460" w:lineRule="exact"/>
        <w:jc w:val="center"/>
        <w:rPr>
          <w:rFonts w:asciiTheme="minorEastAsia" w:hAnsiTheme="minorEastAsia" w:cstheme="minorEastAsia"/>
          <w:b/>
          <w:bCs/>
          <w:sz w:val="28"/>
          <w:szCs w:val="28"/>
        </w:rPr>
      </w:pPr>
    </w:p>
    <w:tbl>
      <w:tblPr>
        <w:tblStyle w:val="52"/>
        <w:tblW w:w="919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项目名称</w:t>
            </w:r>
          </w:p>
        </w:tc>
        <w:tc>
          <w:tcPr>
            <w:tcW w:w="7134" w:type="dxa"/>
            <w:vAlign w:val="center"/>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投标单价</w:t>
            </w:r>
          </w:p>
          <w:p>
            <w:pPr>
              <w:jc w:val="center"/>
              <w:rPr>
                <w:rFonts w:asciiTheme="minorEastAsia" w:hAnsiTheme="minorEastAsia" w:cstheme="minorEastAsia"/>
                <w:sz w:val="24"/>
              </w:rPr>
            </w:pPr>
            <w:r>
              <w:rPr>
                <w:rFonts w:hint="eastAsia" w:asciiTheme="minorEastAsia" w:hAnsiTheme="minorEastAsia" w:cstheme="minorEastAsia"/>
                <w:sz w:val="24"/>
              </w:rPr>
              <w:t>（人民币）</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大写：</w:t>
            </w:r>
          </w:p>
          <w:p>
            <w:pPr>
              <w:rPr>
                <w:rFonts w:asciiTheme="minorEastAsia" w:hAnsiTheme="minorEastAsia" w:cstheme="minorEastAsia"/>
                <w:sz w:val="24"/>
              </w:rPr>
            </w:pPr>
            <w:r>
              <w:rPr>
                <w:rFonts w:hint="eastAsia" w:asciiTheme="minorEastAsia" w:hAnsiTheme="minorEastAsia" w:cstheme="minorEastAsia"/>
                <w:sz w:val="24"/>
              </w:rPr>
              <w:t>小写：</w:t>
            </w:r>
            <w:r>
              <w:rPr>
                <w:rFonts w:asciiTheme="minorEastAsia"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工期</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工作日</w:t>
            </w:r>
            <w:r>
              <w:rPr>
                <w:rFonts w:asciiTheme="minorEastAsia" w:hAnsiTheme="minorEastAsia" w:cstheme="minorEastAsia"/>
                <w:sz w:val="24"/>
              </w:rPr>
              <w:t>，</w:t>
            </w:r>
            <w:r>
              <w:rPr>
                <w:rFonts w:hint="eastAsia" w:asciiTheme="minorEastAsia" w:hAnsiTheme="minorEastAsia" w:cstheme="minorEastAsia"/>
                <w:sz w:val="24"/>
              </w:rPr>
              <w:t xml:space="preserve"> 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标书份数</w:t>
            </w:r>
          </w:p>
        </w:tc>
        <w:tc>
          <w:tcPr>
            <w:tcW w:w="7134" w:type="dxa"/>
            <w:vAlign w:val="center"/>
          </w:tcPr>
          <w:p>
            <w:pPr>
              <w:rPr>
                <w:rFonts w:asciiTheme="minorEastAsia" w:hAnsiTheme="minorEastAsia" w:cstheme="minorEastAsia"/>
                <w:sz w:val="24"/>
              </w:rPr>
            </w:pPr>
            <w:r>
              <w:rPr>
                <w:rFonts w:hint="eastAsia" w:asciiTheme="minorEastAsia" w:hAnsiTheme="minorEastAsia" w:cstheme="minorEastAsia"/>
                <w:sz w:val="24"/>
              </w:rPr>
              <w:t>正本：1份     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备    注</w:t>
            </w:r>
          </w:p>
        </w:tc>
        <w:tc>
          <w:tcPr>
            <w:tcW w:w="7134" w:type="dxa"/>
            <w:vAlign w:val="center"/>
          </w:tcPr>
          <w:p>
            <w:pPr>
              <w:rPr>
                <w:rFonts w:asciiTheme="minorEastAsia" w:hAnsiTheme="minorEastAsia" w:cstheme="minorEastAsia"/>
                <w:sz w:val="24"/>
              </w:rPr>
            </w:pPr>
          </w:p>
        </w:tc>
      </w:tr>
    </w:tbl>
    <w:p>
      <w:pPr>
        <w:jc w:val="center"/>
        <w:rPr>
          <w:rFonts w:asciiTheme="minorEastAsia" w:hAnsiTheme="minorEastAsia" w:cstheme="minorEastAsia"/>
          <w:szCs w:val="21"/>
        </w:rPr>
      </w:pPr>
    </w:p>
    <w:p>
      <w:pPr>
        <w:rPr>
          <w:rFonts w:asciiTheme="minorEastAsia" w:hAnsiTheme="minorEastAsia" w:cstheme="minorEastAsia"/>
          <w:bCs/>
          <w:sz w:val="24"/>
          <w:u w:val="single"/>
        </w:rPr>
      </w:pPr>
      <w:r>
        <w:rPr>
          <w:rFonts w:hint="eastAsia" w:asciiTheme="minorEastAsia" w:hAnsiTheme="minorEastAsia" w:cstheme="minorEastAsia"/>
          <w:bCs/>
          <w:sz w:val="24"/>
        </w:rPr>
        <w:t>投标人名称（盖公章）：</w:t>
      </w:r>
      <w:r>
        <w:rPr>
          <w:rFonts w:hint="eastAsia" w:asciiTheme="minorEastAsia" w:hAnsiTheme="minorEastAsia" w:cstheme="minorEastAsia"/>
          <w:bCs/>
          <w:sz w:val="24"/>
          <w:u w:val="single"/>
        </w:rPr>
        <w:t xml:space="preserve"> </w:t>
      </w:r>
      <w:r>
        <w:rPr>
          <w:rFonts w:asciiTheme="minorEastAsia" w:hAnsiTheme="minorEastAsia" w:cstheme="minorEastAsia"/>
          <w:bCs/>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投标人法定代表人或被授权代表：（签字）</w:t>
      </w:r>
      <w:r>
        <w:rPr>
          <w:rFonts w:hint="eastAsia" w:asciiTheme="minorEastAsia" w:hAnsiTheme="minorEastAsia" w:cstheme="minorEastAsia"/>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时间：</w:t>
      </w:r>
      <w:r>
        <w:rPr>
          <w:rFonts w:asciiTheme="minorEastAsia" w:hAnsiTheme="minorEastAsia" w:cstheme="minorEastAsia"/>
          <w:sz w:val="24"/>
          <w:u w:val="single"/>
        </w:rPr>
        <w:t xml:space="preserve">      </w:t>
      </w:r>
      <w:r>
        <w:rPr>
          <w:rFonts w:hint="eastAsia" w:asciiTheme="minorEastAsia" w:hAnsiTheme="minorEastAsia" w:cstheme="minorEastAsia"/>
          <w:sz w:val="24"/>
        </w:rPr>
        <w:t>年</w:t>
      </w:r>
      <w:r>
        <w:rPr>
          <w:rFonts w:asciiTheme="minorEastAsia" w:hAnsiTheme="minorEastAsia" w:cstheme="minorEastAsia"/>
          <w:sz w:val="24"/>
          <w:u w:val="single"/>
        </w:rPr>
        <w:t xml:space="preserve">   </w:t>
      </w:r>
      <w:r>
        <w:rPr>
          <w:rFonts w:hint="eastAsia" w:asciiTheme="minorEastAsia" w:hAnsiTheme="minorEastAsia" w:cstheme="minorEastAsia"/>
          <w:sz w:val="24"/>
        </w:rPr>
        <w:t>月</w:t>
      </w:r>
      <w:r>
        <w:rPr>
          <w:rFonts w:asciiTheme="minorEastAsia" w:hAnsiTheme="minorEastAsia" w:cstheme="minorEastAsia"/>
          <w:sz w:val="24"/>
          <w:u w:val="single"/>
        </w:rPr>
        <w:t xml:space="preserve">    </w:t>
      </w:r>
      <w:r>
        <w:rPr>
          <w:rFonts w:hint="eastAsia" w:asciiTheme="minorEastAsia" w:hAnsiTheme="minorEastAsia" w:cstheme="minorEastAsia"/>
          <w:sz w:val="24"/>
        </w:rPr>
        <w:t>日</w:t>
      </w:r>
    </w:p>
    <w:p>
      <w:pPr>
        <w:rPr>
          <w:rFonts w:asciiTheme="minorEastAsia" w:hAnsiTheme="minorEastAsia" w:cstheme="minorEastAsia"/>
          <w:sz w:val="24"/>
        </w:rPr>
      </w:pPr>
      <w:r>
        <w:rPr>
          <w:rFonts w:hint="eastAsia" w:asciiTheme="minorEastAsia" w:hAnsiTheme="minorEastAsia" w:cstheme="minorEastAsia"/>
          <w:sz w:val="24"/>
        </w:rPr>
        <w:t>开标一览表填写说明：</w:t>
      </w:r>
    </w:p>
    <w:p>
      <w:pPr>
        <w:rPr>
          <w:rFonts w:asciiTheme="minorEastAsia" w:hAnsiTheme="minorEastAsia" w:cstheme="minorEastAsia"/>
          <w:sz w:val="24"/>
        </w:rPr>
      </w:pPr>
      <w:r>
        <w:rPr>
          <w:rFonts w:hint="eastAsia" w:asciiTheme="minorEastAsia" w:hAnsiTheme="minorEastAsia" w:cstheme="minorEastAsia"/>
          <w:sz w:val="24"/>
        </w:rPr>
        <w:t>1. 投标人必须按表中规定格式完整、清晰、正确填写；</w:t>
      </w:r>
    </w:p>
    <w:p>
      <w:pPr>
        <w:rPr>
          <w:rFonts w:asciiTheme="minorEastAsia" w:hAnsiTheme="minorEastAsia" w:cstheme="minorEastAsia"/>
          <w:sz w:val="24"/>
        </w:rPr>
      </w:pPr>
      <w:r>
        <w:rPr>
          <w:rFonts w:hint="eastAsia" w:asciiTheme="minorEastAsia" w:hAnsiTheme="minorEastAsia" w:cstheme="minorEastAsia"/>
          <w:sz w:val="24"/>
        </w:rPr>
        <w:t>2、所有价格均系用人民币表示，单位为元；</w:t>
      </w:r>
    </w:p>
    <w:p>
      <w:pPr>
        <w:rPr>
          <w:rFonts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、开标一览表中的价格应与投标文件中投标报价一览表中的价格一致；如与投标文件中投标报价一览表中的价格不一致，评标时一律按开标一览表中价格为准。</w:t>
      </w:r>
    </w:p>
    <w:p>
      <w:pPr>
        <w:pStyle w:val="66"/>
        <w:ind w:firstLine="0" w:firstLineChars="0"/>
        <w:rPr>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roman"/>
    <w:pitch w:val="default"/>
    <w:sig w:usb0="00000000" w:usb1="00000000" w:usb2="0000001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7DB1523A"/>
    <w:multiLevelType w:val="multilevel"/>
    <w:tmpl w:val="7DB1523A"/>
    <w:lvl w:ilvl="0" w:tentative="0">
      <w:start w:val="1"/>
      <w:numFmt w:val="bullet"/>
      <w:lvlText w:val=""/>
      <w:lvlJc w:val="left"/>
      <w:pPr>
        <w:ind w:left="27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9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62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34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6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5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226"/>
      </w:pPr>
      <w:rPr>
        <w:rFonts w:ascii="Wingdings 2" w:hAnsi="Wingdings 2" w:eastAsia="Wingdings 2" w:cs="Wingdings 2"/>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OGJlYTljZWE4NmJlYTUwYTg5ZDM2ZjkwNzI2YzcifQ=="/>
  </w:docVars>
  <w:rsids>
    <w:rsidRoot w:val="001C7B96"/>
    <w:rsid w:val="00023A3C"/>
    <w:rsid w:val="00082A0D"/>
    <w:rsid w:val="000C1068"/>
    <w:rsid w:val="000C3C9E"/>
    <w:rsid w:val="000E0F37"/>
    <w:rsid w:val="000E19D9"/>
    <w:rsid w:val="000E3C77"/>
    <w:rsid w:val="000F1F4B"/>
    <w:rsid w:val="000F296C"/>
    <w:rsid w:val="00107FB0"/>
    <w:rsid w:val="00111202"/>
    <w:rsid w:val="00134133"/>
    <w:rsid w:val="00135513"/>
    <w:rsid w:val="0014446E"/>
    <w:rsid w:val="00147F22"/>
    <w:rsid w:val="00166A3B"/>
    <w:rsid w:val="00175308"/>
    <w:rsid w:val="001901EE"/>
    <w:rsid w:val="00193E71"/>
    <w:rsid w:val="001C7B96"/>
    <w:rsid w:val="001F7E2A"/>
    <w:rsid w:val="00201E87"/>
    <w:rsid w:val="00215C23"/>
    <w:rsid w:val="00224581"/>
    <w:rsid w:val="00225013"/>
    <w:rsid w:val="0023095D"/>
    <w:rsid w:val="0025650B"/>
    <w:rsid w:val="00257C34"/>
    <w:rsid w:val="002612F8"/>
    <w:rsid w:val="002A61A2"/>
    <w:rsid w:val="002B0240"/>
    <w:rsid w:val="002D54F3"/>
    <w:rsid w:val="00307B6A"/>
    <w:rsid w:val="00315D0E"/>
    <w:rsid w:val="00323905"/>
    <w:rsid w:val="00355807"/>
    <w:rsid w:val="00357B09"/>
    <w:rsid w:val="003634E7"/>
    <w:rsid w:val="00374896"/>
    <w:rsid w:val="00377CC9"/>
    <w:rsid w:val="003827EB"/>
    <w:rsid w:val="003A0737"/>
    <w:rsid w:val="003E1525"/>
    <w:rsid w:val="003F1173"/>
    <w:rsid w:val="0041121E"/>
    <w:rsid w:val="00411660"/>
    <w:rsid w:val="00430E55"/>
    <w:rsid w:val="00447A35"/>
    <w:rsid w:val="004811BE"/>
    <w:rsid w:val="004967B9"/>
    <w:rsid w:val="004D62EC"/>
    <w:rsid w:val="0050573A"/>
    <w:rsid w:val="00537148"/>
    <w:rsid w:val="005414C0"/>
    <w:rsid w:val="00546CDC"/>
    <w:rsid w:val="00564503"/>
    <w:rsid w:val="00582ED9"/>
    <w:rsid w:val="005B2CBF"/>
    <w:rsid w:val="005E1C7F"/>
    <w:rsid w:val="005E502F"/>
    <w:rsid w:val="005F0578"/>
    <w:rsid w:val="005F0CE3"/>
    <w:rsid w:val="00610D88"/>
    <w:rsid w:val="00620463"/>
    <w:rsid w:val="00621450"/>
    <w:rsid w:val="00624048"/>
    <w:rsid w:val="006356B6"/>
    <w:rsid w:val="00637533"/>
    <w:rsid w:val="00646494"/>
    <w:rsid w:val="006641D9"/>
    <w:rsid w:val="00691710"/>
    <w:rsid w:val="00694ACC"/>
    <w:rsid w:val="006954BE"/>
    <w:rsid w:val="006B1D0C"/>
    <w:rsid w:val="006B20D8"/>
    <w:rsid w:val="006E1471"/>
    <w:rsid w:val="006E4304"/>
    <w:rsid w:val="00704706"/>
    <w:rsid w:val="00745A4B"/>
    <w:rsid w:val="007668A8"/>
    <w:rsid w:val="0077311D"/>
    <w:rsid w:val="007C11A5"/>
    <w:rsid w:val="007D5DBF"/>
    <w:rsid w:val="007F172C"/>
    <w:rsid w:val="00800492"/>
    <w:rsid w:val="00805B6C"/>
    <w:rsid w:val="00807D15"/>
    <w:rsid w:val="008337B6"/>
    <w:rsid w:val="008356C4"/>
    <w:rsid w:val="00861D7A"/>
    <w:rsid w:val="00864ACE"/>
    <w:rsid w:val="00866876"/>
    <w:rsid w:val="008C0FB3"/>
    <w:rsid w:val="008C1462"/>
    <w:rsid w:val="008C1C07"/>
    <w:rsid w:val="008D0694"/>
    <w:rsid w:val="008D77B7"/>
    <w:rsid w:val="009045F9"/>
    <w:rsid w:val="00907090"/>
    <w:rsid w:val="009123D8"/>
    <w:rsid w:val="00912D2E"/>
    <w:rsid w:val="00933F5B"/>
    <w:rsid w:val="00944CF8"/>
    <w:rsid w:val="00945053"/>
    <w:rsid w:val="00974F0C"/>
    <w:rsid w:val="009853F3"/>
    <w:rsid w:val="009A0E7D"/>
    <w:rsid w:val="009B316C"/>
    <w:rsid w:val="009D1F3F"/>
    <w:rsid w:val="009D75F9"/>
    <w:rsid w:val="009E61CF"/>
    <w:rsid w:val="009E78B5"/>
    <w:rsid w:val="00A01036"/>
    <w:rsid w:val="00A0353A"/>
    <w:rsid w:val="00A31982"/>
    <w:rsid w:val="00A92030"/>
    <w:rsid w:val="00AA7972"/>
    <w:rsid w:val="00AB1CE9"/>
    <w:rsid w:val="00AB3D53"/>
    <w:rsid w:val="00AC1DF0"/>
    <w:rsid w:val="00AD0BDC"/>
    <w:rsid w:val="00AE49A0"/>
    <w:rsid w:val="00AF72A0"/>
    <w:rsid w:val="00B04C4F"/>
    <w:rsid w:val="00B32AB3"/>
    <w:rsid w:val="00B5334A"/>
    <w:rsid w:val="00B8200D"/>
    <w:rsid w:val="00BA2762"/>
    <w:rsid w:val="00BD2477"/>
    <w:rsid w:val="00BE435A"/>
    <w:rsid w:val="00BF1DE0"/>
    <w:rsid w:val="00C04340"/>
    <w:rsid w:val="00C209BB"/>
    <w:rsid w:val="00C55BEF"/>
    <w:rsid w:val="00C73BCE"/>
    <w:rsid w:val="00CC1AF0"/>
    <w:rsid w:val="00CE50BD"/>
    <w:rsid w:val="00CF07E4"/>
    <w:rsid w:val="00D26576"/>
    <w:rsid w:val="00D27037"/>
    <w:rsid w:val="00D40D00"/>
    <w:rsid w:val="00D40F84"/>
    <w:rsid w:val="00D45AD4"/>
    <w:rsid w:val="00D75CA1"/>
    <w:rsid w:val="00DA4B1D"/>
    <w:rsid w:val="00DF1E4D"/>
    <w:rsid w:val="00E21D02"/>
    <w:rsid w:val="00E26CBC"/>
    <w:rsid w:val="00E410F6"/>
    <w:rsid w:val="00E55EDF"/>
    <w:rsid w:val="00E60150"/>
    <w:rsid w:val="00E607B7"/>
    <w:rsid w:val="00E861E7"/>
    <w:rsid w:val="00E94F21"/>
    <w:rsid w:val="00ED1743"/>
    <w:rsid w:val="00EF748F"/>
    <w:rsid w:val="00F15876"/>
    <w:rsid w:val="00F62AA3"/>
    <w:rsid w:val="00F90B6D"/>
    <w:rsid w:val="00FB1245"/>
    <w:rsid w:val="00FB154B"/>
    <w:rsid w:val="00FC7C39"/>
    <w:rsid w:val="00FD34FA"/>
    <w:rsid w:val="00FD465A"/>
    <w:rsid w:val="00FE20F8"/>
    <w:rsid w:val="01732979"/>
    <w:rsid w:val="03D90B5E"/>
    <w:rsid w:val="04003C23"/>
    <w:rsid w:val="047F0B83"/>
    <w:rsid w:val="04814D63"/>
    <w:rsid w:val="049A5E25"/>
    <w:rsid w:val="06023C82"/>
    <w:rsid w:val="060E4EF5"/>
    <w:rsid w:val="06896151"/>
    <w:rsid w:val="06D51397"/>
    <w:rsid w:val="07EC5385"/>
    <w:rsid w:val="095E1B17"/>
    <w:rsid w:val="0AED1671"/>
    <w:rsid w:val="0C634C9A"/>
    <w:rsid w:val="0CC948D0"/>
    <w:rsid w:val="0D6005C4"/>
    <w:rsid w:val="0D6F433B"/>
    <w:rsid w:val="0DBE2B84"/>
    <w:rsid w:val="0DC3019B"/>
    <w:rsid w:val="0E2D1AB8"/>
    <w:rsid w:val="0E462B7A"/>
    <w:rsid w:val="0E603C3C"/>
    <w:rsid w:val="0EAE5504"/>
    <w:rsid w:val="10596B94"/>
    <w:rsid w:val="10FC1E96"/>
    <w:rsid w:val="118B6CF6"/>
    <w:rsid w:val="11A0255B"/>
    <w:rsid w:val="11C73FD2"/>
    <w:rsid w:val="133B5D7B"/>
    <w:rsid w:val="134A6C68"/>
    <w:rsid w:val="14976D8A"/>
    <w:rsid w:val="159A629A"/>
    <w:rsid w:val="17105D6F"/>
    <w:rsid w:val="17732E3B"/>
    <w:rsid w:val="184B7C9E"/>
    <w:rsid w:val="190023E3"/>
    <w:rsid w:val="1AB1581F"/>
    <w:rsid w:val="1C0C5351"/>
    <w:rsid w:val="1D44297A"/>
    <w:rsid w:val="1EB61656"/>
    <w:rsid w:val="1EE066D3"/>
    <w:rsid w:val="207E61A3"/>
    <w:rsid w:val="214F3207"/>
    <w:rsid w:val="215D4B3C"/>
    <w:rsid w:val="229F6B9D"/>
    <w:rsid w:val="23744195"/>
    <w:rsid w:val="23A4767B"/>
    <w:rsid w:val="243616F8"/>
    <w:rsid w:val="24B5642C"/>
    <w:rsid w:val="25276E09"/>
    <w:rsid w:val="26415D1C"/>
    <w:rsid w:val="265B4083"/>
    <w:rsid w:val="275C3313"/>
    <w:rsid w:val="27D33279"/>
    <w:rsid w:val="29DA6B40"/>
    <w:rsid w:val="2A7256E2"/>
    <w:rsid w:val="2AB611DC"/>
    <w:rsid w:val="2B020295"/>
    <w:rsid w:val="2BE766D7"/>
    <w:rsid w:val="2D894CCD"/>
    <w:rsid w:val="2DC00FDA"/>
    <w:rsid w:val="2E755089"/>
    <w:rsid w:val="2F212B1B"/>
    <w:rsid w:val="2FEA73B1"/>
    <w:rsid w:val="31684A32"/>
    <w:rsid w:val="32285F6F"/>
    <w:rsid w:val="33BC1065"/>
    <w:rsid w:val="34A246FE"/>
    <w:rsid w:val="34A915E9"/>
    <w:rsid w:val="355A3FFA"/>
    <w:rsid w:val="377063EE"/>
    <w:rsid w:val="37DE5A4E"/>
    <w:rsid w:val="39A131D7"/>
    <w:rsid w:val="3A4122C4"/>
    <w:rsid w:val="3B070617"/>
    <w:rsid w:val="3BCE2D2F"/>
    <w:rsid w:val="3C2B6395"/>
    <w:rsid w:val="3CAD14C8"/>
    <w:rsid w:val="3CD76B58"/>
    <w:rsid w:val="3D3D4FC4"/>
    <w:rsid w:val="3DC70B50"/>
    <w:rsid w:val="3E391C30"/>
    <w:rsid w:val="3F260D7B"/>
    <w:rsid w:val="40EA7211"/>
    <w:rsid w:val="42E87E84"/>
    <w:rsid w:val="431E79FE"/>
    <w:rsid w:val="436808C1"/>
    <w:rsid w:val="43B27D8E"/>
    <w:rsid w:val="442362AC"/>
    <w:rsid w:val="4484797D"/>
    <w:rsid w:val="45324E40"/>
    <w:rsid w:val="454A2974"/>
    <w:rsid w:val="454B2248"/>
    <w:rsid w:val="45B778DE"/>
    <w:rsid w:val="466C2476"/>
    <w:rsid w:val="47D66741"/>
    <w:rsid w:val="481728B6"/>
    <w:rsid w:val="485F0905"/>
    <w:rsid w:val="492473B8"/>
    <w:rsid w:val="49A87C69"/>
    <w:rsid w:val="4A122728"/>
    <w:rsid w:val="4ABA672D"/>
    <w:rsid w:val="4B5A31E5"/>
    <w:rsid w:val="4BE631BD"/>
    <w:rsid w:val="4BFA2159"/>
    <w:rsid w:val="4C097A15"/>
    <w:rsid w:val="4D2C295F"/>
    <w:rsid w:val="4EE5076F"/>
    <w:rsid w:val="510E5CE7"/>
    <w:rsid w:val="51253B50"/>
    <w:rsid w:val="51374011"/>
    <w:rsid w:val="52B7716F"/>
    <w:rsid w:val="52CD1815"/>
    <w:rsid w:val="52DB2DF6"/>
    <w:rsid w:val="5330028C"/>
    <w:rsid w:val="54044FB7"/>
    <w:rsid w:val="553C72F9"/>
    <w:rsid w:val="55A7525B"/>
    <w:rsid w:val="5641747C"/>
    <w:rsid w:val="566E7823"/>
    <w:rsid w:val="574B3E6B"/>
    <w:rsid w:val="58A0262C"/>
    <w:rsid w:val="58DB4EF0"/>
    <w:rsid w:val="591850B4"/>
    <w:rsid w:val="595E05AC"/>
    <w:rsid w:val="59797A66"/>
    <w:rsid w:val="5B152921"/>
    <w:rsid w:val="5C7402B9"/>
    <w:rsid w:val="5D8014F9"/>
    <w:rsid w:val="5E710B1A"/>
    <w:rsid w:val="5F5D0759"/>
    <w:rsid w:val="5FE97132"/>
    <w:rsid w:val="61273712"/>
    <w:rsid w:val="62B36883"/>
    <w:rsid w:val="63043D0B"/>
    <w:rsid w:val="639F3A33"/>
    <w:rsid w:val="641B7EFE"/>
    <w:rsid w:val="64E42046"/>
    <w:rsid w:val="674C5042"/>
    <w:rsid w:val="678418BE"/>
    <w:rsid w:val="697737F3"/>
    <w:rsid w:val="69CD2AE3"/>
    <w:rsid w:val="6B01232E"/>
    <w:rsid w:val="6B250CC2"/>
    <w:rsid w:val="6C0E5BFA"/>
    <w:rsid w:val="6E2C6AC6"/>
    <w:rsid w:val="6EFF182A"/>
    <w:rsid w:val="700C2451"/>
    <w:rsid w:val="70391DC3"/>
    <w:rsid w:val="719820E8"/>
    <w:rsid w:val="738D38A8"/>
    <w:rsid w:val="742D6406"/>
    <w:rsid w:val="757C1E26"/>
    <w:rsid w:val="75A90F84"/>
    <w:rsid w:val="76320737"/>
    <w:rsid w:val="76CC0B8C"/>
    <w:rsid w:val="79CB6ED9"/>
    <w:rsid w:val="7A2B7977"/>
    <w:rsid w:val="7B0C1557"/>
    <w:rsid w:val="7B2965AD"/>
    <w:rsid w:val="7C5533D1"/>
    <w:rsid w:val="7C7E14AD"/>
    <w:rsid w:val="7D6B2EAC"/>
    <w:rsid w:val="7EC5039A"/>
    <w:rsid w:val="7EF4284C"/>
    <w:rsid w:val="7F43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1"/>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5">
    <w:name w:val="heading 2"/>
    <w:basedOn w:val="1"/>
    <w:next w:val="1"/>
    <w:link w:val="72"/>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3"/>
    <w:basedOn w:val="1"/>
    <w:next w:val="1"/>
    <w:link w:val="73"/>
    <w:qFormat/>
    <w:uiPriority w:val="0"/>
    <w:pPr>
      <w:keepNext/>
      <w:keepLines/>
      <w:spacing w:before="260" w:after="260" w:line="413" w:lineRule="auto"/>
      <w:outlineLvl w:val="2"/>
    </w:pPr>
    <w:rPr>
      <w:rFonts w:ascii="Calibri" w:hAnsi="Calibri" w:eastAsia="宋体" w:cs="Times New Roman"/>
      <w:b/>
      <w:sz w:val="32"/>
      <w:szCs w:val="20"/>
    </w:rPr>
  </w:style>
  <w:style w:type="paragraph" w:styleId="7">
    <w:name w:val="heading 4"/>
    <w:basedOn w:val="1"/>
    <w:next w:val="1"/>
    <w:link w:val="74"/>
    <w:qFormat/>
    <w:uiPriority w:val="0"/>
    <w:pPr>
      <w:keepNext/>
      <w:keepLines/>
      <w:pageBreakBefore/>
      <w:spacing w:before="120" w:line="360" w:lineRule="auto"/>
      <w:jc w:val="center"/>
      <w:outlineLvl w:val="3"/>
    </w:pPr>
    <w:rPr>
      <w:rFonts w:ascii="Arial" w:hAnsi="Arial" w:eastAsia="黑体" w:cs="Times New Roman"/>
      <w:b/>
      <w:bCs/>
      <w:sz w:val="28"/>
      <w:szCs w:val="28"/>
    </w:rPr>
  </w:style>
  <w:style w:type="paragraph" w:styleId="8">
    <w:name w:val="heading 5"/>
    <w:basedOn w:val="1"/>
    <w:next w:val="1"/>
    <w:link w:val="75"/>
    <w:qFormat/>
    <w:uiPriority w:val="0"/>
    <w:pPr>
      <w:pageBreakBefore/>
      <w:widowControl/>
      <w:spacing w:before="240" w:after="60"/>
      <w:jc w:val="center"/>
      <w:outlineLvl w:val="4"/>
    </w:pPr>
    <w:rPr>
      <w:rFonts w:ascii="Arial" w:hAnsi="Arial" w:eastAsia="黑体" w:cs="Times New Roman"/>
      <w:bCs/>
      <w:sz w:val="24"/>
      <w:szCs w:val="32"/>
    </w:rPr>
  </w:style>
  <w:style w:type="paragraph" w:styleId="9">
    <w:name w:val="heading 6"/>
    <w:basedOn w:val="1"/>
    <w:next w:val="1"/>
    <w:link w:val="76"/>
    <w:qFormat/>
    <w:uiPriority w:val="0"/>
    <w:pPr>
      <w:keepNext/>
      <w:keepLines/>
      <w:widowControl/>
      <w:tabs>
        <w:tab w:val="left" w:pos="1440"/>
      </w:tabs>
      <w:spacing w:before="240" w:after="64" w:line="316" w:lineRule="auto"/>
      <w:ind w:left="1152" w:hanging="1152"/>
      <w:jc w:val="left"/>
      <w:outlineLvl w:val="5"/>
    </w:pPr>
    <w:rPr>
      <w:rFonts w:ascii="Arial" w:hAnsi="Arial" w:eastAsia="黑体" w:cs="Times New Roman"/>
      <w:b/>
      <w:bCs/>
      <w:kern w:val="0"/>
      <w:sz w:val="24"/>
      <w:szCs w:val="20"/>
    </w:rPr>
  </w:style>
  <w:style w:type="paragraph" w:styleId="10">
    <w:name w:val="heading 7"/>
    <w:basedOn w:val="1"/>
    <w:next w:val="1"/>
    <w:link w:val="77"/>
    <w:qFormat/>
    <w:uiPriority w:val="0"/>
    <w:pPr>
      <w:keepNext/>
      <w:keepLines/>
      <w:widowControl/>
      <w:numPr>
        <w:ilvl w:val="6"/>
        <w:numId w:val="1"/>
      </w:numPr>
      <w:tabs>
        <w:tab w:val="left" w:pos="2520"/>
      </w:tabs>
      <w:spacing w:before="240" w:after="64" w:line="316" w:lineRule="auto"/>
      <w:ind w:left="1296" w:hanging="1296"/>
      <w:jc w:val="left"/>
      <w:outlineLvl w:val="6"/>
    </w:pPr>
    <w:rPr>
      <w:rFonts w:ascii="Calibri" w:hAnsi="Calibri" w:eastAsia="宋体" w:cs="Times New Roman"/>
      <w:b/>
      <w:bCs/>
      <w:kern w:val="0"/>
      <w:sz w:val="24"/>
      <w:szCs w:val="20"/>
    </w:rPr>
  </w:style>
  <w:style w:type="paragraph" w:styleId="11">
    <w:name w:val="heading 8"/>
    <w:basedOn w:val="1"/>
    <w:next w:val="1"/>
    <w:link w:val="78"/>
    <w:qFormat/>
    <w:uiPriority w:val="0"/>
    <w:pPr>
      <w:keepNext/>
      <w:keepLines/>
      <w:widowControl/>
      <w:numPr>
        <w:ilvl w:val="7"/>
        <w:numId w:val="1"/>
      </w:numPr>
      <w:tabs>
        <w:tab w:val="left" w:pos="1440"/>
      </w:tabs>
      <w:spacing w:before="240" w:after="64" w:line="316" w:lineRule="auto"/>
      <w:ind w:left="1440" w:hanging="1440"/>
      <w:jc w:val="left"/>
      <w:outlineLvl w:val="7"/>
    </w:pPr>
    <w:rPr>
      <w:rFonts w:ascii="Arial" w:hAnsi="Arial" w:eastAsia="黑体" w:cs="Times New Roman"/>
      <w:kern w:val="0"/>
      <w:sz w:val="24"/>
      <w:szCs w:val="20"/>
    </w:rPr>
  </w:style>
  <w:style w:type="paragraph" w:styleId="12">
    <w:name w:val="heading 9"/>
    <w:basedOn w:val="1"/>
    <w:next w:val="1"/>
    <w:link w:val="79"/>
    <w:qFormat/>
    <w:uiPriority w:val="0"/>
    <w:pPr>
      <w:keepNext/>
      <w:keepLines/>
      <w:widowControl/>
      <w:numPr>
        <w:ilvl w:val="8"/>
        <w:numId w:val="1"/>
      </w:numPr>
      <w:tabs>
        <w:tab w:val="left" w:pos="1584"/>
      </w:tabs>
      <w:spacing w:before="240" w:after="64" w:line="316" w:lineRule="auto"/>
      <w:ind w:left="1584" w:hanging="1584"/>
      <w:jc w:val="left"/>
      <w:outlineLvl w:val="8"/>
    </w:pPr>
    <w:rPr>
      <w:rFonts w:ascii="Arial" w:hAnsi="Arial" w:eastAsia="黑体" w:cs="Times New Roman"/>
      <w:kern w:val="0"/>
      <w:sz w:val="20"/>
      <w:szCs w:val="21"/>
    </w:rPr>
  </w:style>
  <w:style w:type="character" w:default="1" w:styleId="56">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236"/>
    <w:unhideWhenUsed/>
    <w:qFormat/>
    <w:uiPriority w:val="0"/>
    <w:pPr>
      <w:widowControl w:val="0"/>
      <w:spacing w:before="0" w:beforeAutospacing="0" w:after="120" w:afterAutospacing="0"/>
      <w:ind w:firstLine="420"/>
      <w:jc w:val="both"/>
    </w:pPr>
    <w:rPr>
      <w:rFonts w:ascii="Times New Roman" w:hAnsi="Times New Roman" w:cs="Times New Roman"/>
      <w:sz w:val="20"/>
      <w:szCs w:val="20"/>
    </w:rPr>
  </w:style>
  <w:style w:type="paragraph" w:styleId="3">
    <w:name w:val="Body Text"/>
    <w:basedOn w:val="1"/>
    <w:next w:val="1"/>
    <w:link w:val="6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oc 7"/>
    <w:basedOn w:val="1"/>
    <w:next w:val="1"/>
    <w:unhideWhenUsed/>
    <w:qFormat/>
    <w:uiPriority w:val="0"/>
    <w:pPr>
      <w:ind w:left="1260"/>
      <w:jc w:val="left"/>
    </w:pPr>
    <w:rPr>
      <w:rFonts w:ascii="Calibri" w:hAnsi="Calibri" w:eastAsia="宋体" w:cs="Times New Roman"/>
      <w:sz w:val="18"/>
      <w:szCs w:val="18"/>
    </w:rPr>
  </w:style>
  <w:style w:type="paragraph" w:styleId="14">
    <w:name w:val="List Bullet 4"/>
    <w:basedOn w:val="1"/>
    <w:qFormat/>
    <w:uiPriority w:val="0"/>
    <w:pPr>
      <w:tabs>
        <w:tab w:val="left" w:pos="1620"/>
      </w:tabs>
      <w:ind w:left="1620" w:leftChars="600" w:hanging="360" w:hangingChars="200"/>
    </w:pPr>
    <w:rPr>
      <w:rFonts w:ascii="Times New Roman" w:hAnsi="Times New Roman" w:eastAsia="宋体" w:cs="Times New Roman"/>
      <w:szCs w:val="24"/>
    </w:rPr>
  </w:style>
  <w:style w:type="paragraph" w:styleId="15">
    <w:name w:val="Normal Indent"/>
    <w:basedOn w:val="1"/>
    <w:link w:val="212"/>
    <w:unhideWhenUsed/>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18">
    <w:name w:val="Document Map"/>
    <w:basedOn w:val="1"/>
    <w:link w:val="240"/>
    <w:unhideWhenUsed/>
    <w:qFormat/>
    <w:uiPriority w:val="0"/>
    <w:pPr>
      <w:shd w:val="clear" w:color="auto" w:fill="000080"/>
    </w:pPr>
    <w:rPr>
      <w:rFonts w:ascii="Calibri" w:hAnsi="Calibri" w:eastAsia="宋体" w:cs="Times New Roman"/>
    </w:rPr>
  </w:style>
  <w:style w:type="paragraph" w:styleId="19">
    <w:name w:val="annotation text"/>
    <w:basedOn w:val="1"/>
    <w:link w:val="222"/>
    <w:unhideWhenUsed/>
    <w:qFormat/>
    <w:uiPriority w:val="0"/>
    <w:pPr>
      <w:jc w:val="left"/>
    </w:pPr>
    <w:rPr>
      <w:rFonts w:ascii="Times New Roman" w:hAnsi="Times New Roman" w:eastAsia="宋体" w:cs="Times New Roman"/>
      <w:szCs w:val="24"/>
    </w:rPr>
  </w:style>
  <w:style w:type="paragraph" w:styleId="20">
    <w:name w:val="Body Text 3"/>
    <w:basedOn w:val="1"/>
    <w:link w:val="70"/>
    <w:unhideWhenUsed/>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2">
    <w:name w:val="Body Text Indent"/>
    <w:basedOn w:val="1"/>
    <w:next w:val="23"/>
    <w:link w:val="68"/>
    <w:unhideWhenUsed/>
    <w:qFormat/>
    <w:uiPriority w:val="0"/>
    <w:pPr>
      <w:spacing w:after="120"/>
      <w:ind w:left="420" w:leftChars="200"/>
    </w:pPr>
  </w:style>
  <w:style w:type="paragraph" w:styleId="23">
    <w:name w:val="envelope return"/>
    <w:basedOn w:val="1"/>
    <w:unhideWhenUsed/>
    <w:qFormat/>
    <w:uiPriority w:val="99"/>
    <w:pPr>
      <w:snapToGrid w:val="0"/>
    </w:pPr>
    <w:rPr>
      <w:rFonts w:ascii="Arial" w:hAnsi="Arial" w:eastAsia="宋体" w:cs="Times New Roman"/>
    </w:rPr>
  </w:style>
  <w:style w:type="paragraph" w:styleId="24">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840"/>
      <w:jc w:val="left"/>
    </w:pPr>
    <w:rPr>
      <w:rFonts w:ascii="Calibri" w:hAnsi="Calibri" w:eastAsia="宋体" w:cs="Times New Roman"/>
      <w:sz w:val="18"/>
      <w:szCs w:val="18"/>
    </w:rPr>
  </w:style>
  <w:style w:type="paragraph" w:styleId="27">
    <w:name w:val="toc 3"/>
    <w:basedOn w:val="1"/>
    <w:next w:val="1"/>
    <w:unhideWhenUsed/>
    <w:qFormat/>
    <w:uiPriority w:val="0"/>
    <w:pPr>
      <w:ind w:left="420"/>
      <w:jc w:val="left"/>
    </w:pPr>
    <w:rPr>
      <w:rFonts w:ascii="Calibri" w:hAnsi="Calibri" w:eastAsia="宋体" w:cs="Times New Roman"/>
      <w:i/>
      <w:iCs/>
      <w:sz w:val="20"/>
      <w:szCs w:val="20"/>
    </w:rPr>
  </w:style>
  <w:style w:type="paragraph" w:styleId="28">
    <w:name w:val="Plain Text"/>
    <w:basedOn w:val="1"/>
    <w:link w:val="179"/>
    <w:unhideWhenUsed/>
    <w:qFormat/>
    <w:uiPriority w:val="99"/>
    <w:rPr>
      <w:rFonts w:ascii="Courier New" w:hAnsi="Courier New" w:eastAsia="宋体" w:cs="Times New Roman"/>
      <w:szCs w:val="20"/>
    </w:rPr>
  </w:style>
  <w:style w:type="paragraph" w:styleId="29">
    <w:name w:val="List Bullet 5"/>
    <w:basedOn w:val="1"/>
    <w:qFormat/>
    <w:uiPriority w:val="0"/>
    <w:pPr>
      <w:tabs>
        <w:tab w:val="left" w:pos="2040"/>
      </w:tabs>
      <w:ind w:left="2040" w:leftChars="800" w:hanging="360" w:hangingChars="200"/>
    </w:pPr>
    <w:rPr>
      <w:rFonts w:ascii="Times New Roman" w:hAnsi="Times New Roman" w:eastAsia="宋体" w:cs="Times New Roman"/>
      <w:szCs w:val="24"/>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Date"/>
    <w:basedOn w:val="1"/>
    <w:next w:val="1"/>
    <w:link w:val="218"/>
    <w:unhideWhenUsed/>
    <w:qFormat/>
    <w:uiPriority w:val="0"/>
    <w:rPr>
      <w:rFonts w:ascii="Calibri" w:hAnsi="Calibri" w:eastAsia="宋体" w:cs="Times New Roman"/>
      <w:sz w:val="24"/>
      <w:szCs w:val="20"/>
    </w:rPr>
  </w:style>
  <w:style w:type="paragraph" w:styleId="32">
    <w:name w:val="Body Text Indent 2"/>
    <w:basedOn w:val="1"/>
    <w:link w:val="196"/>
    <w:unhideWhenUsed/>
    <w:qFormat/>
    <w:uiPriority w:val="0"/>
    <w:pPr>
      <w:spacing w:line="400" w:lineRule="exact"/>
      <w:ind w:left="425"/>
    </w:pPr>
    <w:rPr>
      <w:rFonts w:ascii="Times New Roman" w:hAnsi="Times New Roman" w:eastAsia="宋体" w:cs="Times New Roman"/>
      <w:color w:val="000000"/>
      <w:kern w:val="0"/>
      <w:sz w:val="24"/>
      <w:szCs w:val="20"/>
    </w:rPr>
  </w:style>
  <w:style w:type="paragraph" w:styleId="33">
    <w:name w:val="endnote text"/>
    <w:basedOn w:val="1"/>
    <w:link w:val="191"/>
    <w:qFormat/>
    <w:uiPriority w:val="0"/>
    <w:pPr>
      <w:snapToGrid w:val="0"/>
      <w:jc w:val="left"/>
    </w:pPr>
    <w:rPr>
      <w:szCs w:val="24"/>
    </w:rPr>
  </w:style>
  <w:style w:type="paragraph" w:styleId="34">
    <w:name w:val="Balloon Text"/>
    <w:basedOn w:val="1"/>
    <w:link w:val="125"/>
    <w:unhideWhenUsed/>
    <w:qFormat/>
    <w:uiPriority w:val="99"/>
    <w:rPr>
      <w:rFonts w:ascii="Calibri" w:hAnsi="Calibri" w:eastAsia="宋体" w:cs="Times New Roman"/>
      <w:sz w:val="18"/>
      <w:szCs w:val="18"/>
    </w:rPr>
  </w:style>
  <w:style w:type="paragraph" w:styleId="35">
    <w:name w:val="footer"/>
    <w:basedOn w:val="1"/>
    <w:link w:val="231"/>
    <w:unhideWhenUsed/>
    <w:qFormat/>
    <w:uiPriority w:val="99"/>
    <w:pPr>
      <w:tabs>
        <w:tab w:val="center" w:pos="4153"/>
        <w:tab w:val="right" w:pos="8306"/>
      </w:tabs>
      <w:snapToGrid w:val="0"/>
      <w:jc w:val="left"/>
    </w:pPr>
    <w:rPr>
      <w:sz w:val="18"/>
      <w:szCs w:val="18"/>
    </w:rPr>
  </w:style>
  <w:style w:type="paragraph" w:styleId="36">
    <w:name w:val="header"/>
    <w:basedOn w:val="1"/>
    <w:link w:val="175"/>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4"/>
      <w:szCs w:val="20"/>
    </w:rPr>
  </w:style>
  <w:style w:type="paragraph" w:styleId="38">
    <w:name w:val="toc 4"/>
    <w:basedOn w:val="1"/>
    <w:next w:val="1"/>
    <w:unhideWhenUsed/>
    <w:qFormat/>
    <w:uiPriority w:val="0"/>
    <w:pPr>
      <w:ind w:left="630"/>
      <w:jc w:val="left"/>
    </w:pPr>
    <w:rPr>
      <w:rFonts w:ascii="Calibri" w:hAnsi="Calibri" w:eastAsia="宋体" w:cs="Times New Roman"/>
      <w:sz w:val="18"/>
      <w:szCs w:val="18"/>
    </w:rPr>
  </w:style>
  <w:style w:type="paragraph" w:styleId="39">
    <w:name w:val="Subtitle"/>
    <w:basedOn w:val="1"/>
    <w:next w:val="1"/>
    <w:link w:val="223"/>
    <w:qFormat/>
    <w:uiPriority w:val="0"/>
    <w:pPr>
      <w:widowControl/>
      <w:spacing w:after="60"/>
      <w:jc w:val="center"/>
      <w:outlineLvl w:val="1"/>
    </w:pPr>
    <w:rPr>
      <w:rFonts w:ascii="Arial" w:hAnsi="Arial" w:eastAsia="黑体" w:cs="Times New Roman"/>
      <w:b/>
      <w:bCs/>
      <w:sz w:val="32"/>
      <w:szCs w:val="32"/>
    </w:rPr>
  </w:style>
  <w:style w:type="paragraph" w:styleId="40">
    <w:name w:val="footnote text"/>
    <w:basedOn w:val="1"/>
    <w:link w:val="142"/>
    <w:unhideWhenUsed/>
    <w:qFormat/>
    <w:uiPriority w:val="0"/>
    <w:rPr>
      <w:rFonts w:ascii="Calibri" w:hAnsi="Calibri" w:eastAsia="宋体" w:cs="Times New Roman"/>
      <w:sz w:val="20"/>
      <w:szCs w:val="20"/>
    </w:rPr>
  </w:style>
  <w:style w:type="paragraph" w:styleId="41">
    <w:name w:val="toc 6"/>
    <w:basedOn w:val="1"/>
    <w:next w:val="1"/>
    <w:unhideWhenUsed/>
    <w:qFormat/>
    <w:uiPriority w:val="0"/>
    <w:pPr>
      <w:ind w:left="1050"/>
      <w:jc w:val="left"/>
    </w:pPr>
    <w:rPr>
      <w:rFonts w:ascii="Calibri" w:hAnsi="Calibri" w:eastAsia="宋体" w:cs="Times New Roman"/>
      <w:sz w:val="18"/>
      <w:szCs w:val="18"/>
    </w:rPr>
  </w:style>
  <w:style w:type="paragraph" w:styleId="42">
    <w:name w:val="Body Text Indent 3"/>
    <w:basedOn w:val="1"/>
    <w:link w:val="110"/>
    <w:unhideWhenUsed/>
    <w:qFormat/>
    <w:uiPriority w:val="0"/>
    <w:pPr>
      <w:spacing w:after="120"/>
      <w:ind w:left="420" w:leftChars="200"/>
    </w:pPr>
    <w:rPr>
      <w:rFonts w:ascii="Calibri" w:hAnsi="Calibri" w:eastAsia="宋体" w:cs="Times New Roman"/>
      <w:sz w:val="16"/>
      <w:szCs w:val="16"/>
    </w:rPr>
  </w:style>
  <w:style w:type="paragraph" w:styleId="43">
    <w:name w:val="table of figures"/>
    <w:basedOn w:val="1"/>
    <w:next w:val="1"/>
    <w:unhideWhenUsed/>
    <w:qFormat/>
    <w:uiPriority w:val="0"/>
    <w:pPr>
      <w:ind w:left="200" w:leftChars="200" w:hanging="200" w:hangingChars="200"/>
    </w:pPr>
    <w:rPr>
      <w:rFonts w:ascii="Calibri" w:hAnsi="Calibri" w:eastAsia="宋体" w:cs="Times New Roman"/>
    </w:rPr>
  </w:style>
  <w:style w:type="paragraph" w:styleId="44">
    <w:name w:val="toc 2"/>
    <w:basedOn w:val="1"/>
    <w:next w:val="1"/>
    <w:unhideWhenUsed/>
    <w:qFormat/>
    <w:uiPriority w:val="0"/>
    <w:pPr>
      <w:ind w:left="210"/>
      <w:jc w:val="left"/>
    </w:pPr>
    <w:rPr>
      <w:rFonts w:ascii="Calibri" w:hAnsi="Calibri" w:eastAsia="宋体" w:cs="Times New Roman"/>
      <w:smallCaps/>
      <w:sz w:val="20"/>
      <w:szCs w:val="20"/>
    </w:rPr>
  </w:style>
  <w:style w:type="paragraph" w:styleId="45">
    <w:name w:val="toc 9"/>
    <w:basedOn w:val="1"/>
    <w:next w:val="1"/>
    <w:unhideWhenUsed/>
    <w:qFormat/>
    <w:uiPriority w:val="0"/>
    <w:pPr>
      <w:ind w:left="1680"/>
      <w:jc w:val="left"/>
    </w:pPr>
    <w:rPr>
      <w:rFonts w:ascii="Calibri" w:hAnsi="Calibri" w:eastAsia="宋体" w:cs="Times New Roman"/>
      <w:sz w:val="18"/>
      <w:szCs w:val="18"/>
    </w:rPr>
  </w:style>
  <w:style w:type="paragraph" w:styleId="46">
    <w:name w:val="Body Text 2"/>
    <w:basedOn w:val="1"/>
    <w:link w:val="185"/>
    <w:unhideWhenUsed/>
    <w:qFormat/>
    <w:uiPriority w:val="0"/>
    <w:pPr>
      <w:spacing w:line="500" w:lineRule="exact"/>
      <w:jc w:val="center"/>
    </w:pPr>
    <w:rPr>
      <w:rFonts w:ascii="Times New Roman" w:hAnsi="宋体" w:eastAsia="方正小标宋_GBK" w:cs="Times New Roman"/>
      <w:spacing w:val="-20"/>
      <w:kern w:val="0"/>
      <w:sz w:val="44"/>
      <w:szCs w:val="32"/>
    </w:rPr>
  </w:style>
  <w:style w:type="paragraph" w:styleId="4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8">
    <w:name w:val="index 1"/>
    <w:basedOn w:val="1"/>
    <w:next w:val="1"/>
    <w:unhideWhenUsed/>
    <w:qFormat/>
    <w:uiPriority w:val="0"/>
    <w:pPr>
      <w:spacing w:line="400" w:lineRule="exact"/>
      <w:ind w:firstLine="2205" w:firstLineChars="1050"/>
    </w:pPr>
    <w:rPr>
      <w:rFonts w:ascii="Times New Roman" w:hAnsi="Times New Roman" w:eastAsia="宋体" w:cs="Times New Roman"/>
      <w:szCs w:val="21"/>
    </w:rPr>
  </w:style>
  <w:style w:type="paragraph" w:styleId="49">
    <w:name w:val="Title"/>
    <w:basedOn w:val="1"/>
    <w:link w:val="147"/>
    <w:qFormat/>
    <w:uiPriority w:val="0"/>
    <w:pPr>
      <w:adjustRightInd w:val="0"/>
      <w:spacing w:before="240" w:after="60" w:line="420" w:lineRule="atLeast"/>
      <w:jc w:val="center"/>
      <w:outlineLvl w:val="0"/>
    </w:pPr>
    <w:rPr>
      <w:rFonts w:ascii="Arial" w:hAnsi="Arial" w:eastAsia="宋体" w:cs="Times New Roman"/>
      <w:b/>
      <w:kern w:val="0"/>
      <w:sz w:val="32"/>
      <w:szCs w:val="20"/>
    </w:rPr>
  </w:style>
  <w:style w:type="paragraph" w:styleId="50">
    <w:name w:val="annotation subject"/>
    <w:basedOn w:val="19"/>
    <w:next w:val="19"/>
    <w:link w:val="233"/>
    <w:unhideWhenUsed/>
    <w:qFormat/>
    <w:uiPriority w:val="0"/>
    <w:rPr>
      <w:b/>
      <w:bCs/>
    </w:rPr>
  </w:style>
  <w:style w:type="paragraph" w:styleId="51">
    <w:name w:val="Body Text First Indent 2"/>
    <w:basedOn w:val="22"/>
    <w:link w:val="69"/>
    <w:unhideWhenUsed/>
    <w:qFormat/>
    <w:uiPriority w:val="0"/>
    <w:pPr>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Professional"/>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7">
    <w:name w:val="Strong"/>
    <w:qFormat/>
    <w:uiPriority w:val="0"/>
    <w:rPr>
      <w:b/>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unhideWhenUsed/>
    <w:qFormat/>
    <w:uiPriority w:val="99"/>
    <w:rPr>
      <w:color w:val="800080"/>
      <w:u w:val="single"/>
    </w:rPr>
  </w:style>
  <w:style w:type="character" w:styleId="61">
    <w:name w:val="Emphasis"/>
    <w:qFormat/>
    <w:uiPriority w:val="0"/>
    <w:rPr>
      <w:color w:val="CC0000"/>
    </w:rPr>
  </w:style>
  <w:style w:type="character" w:styleId="62">
    <w:name w:val="Hyperlink"/>
    <w:basedOn w:val="56"/>
    <w:unhideWhenUsed/>
    <w:qFormat/>
    <w:uiPriority w:val="99"/>
    <w:rPr>
      <w:color w:val="0000FF"/>
      <w:u w:val="single"/>
    </w:rPr>
  </w:style>
  <w:style w:type="character" w:styleId="63">
    <w:name w:val="HTML Code"/>
    <w:qFormat/>
    <w:uiPriority w:val="0"/>
    <w:rPr>
      <w:rFonts w:ascii="Courier New" w:hAnsi="Courier New"/>
      <w:sz w:val="20"/>
      <w:szCs w:val="20"/>
    </w:rPr>
  </w:style>
  <w:style w:type="character" w:styleId="64">
    <w:name w:val="annotation reference"/>
    <w:unhideWhenUsed/>
    <w:qFormat/>
    <w:uiPriority w:val="0"/>
    <w:rPr>
      <w:sz w:val="21"/>
      <w:szCs w:val="21"/>
    </w:rPr>
  </w:style>
  <w:style w:type="character" w:styleId="65">
    <w:name w:val="footnote reference"/>
    <w:unhideWhenUsed/>
    <w:qFormat/>
    <w:uiPriority w:val="0"/>
    <w:rPr>
      <w:vertAlign w:val="superscript"/>
    </w:rPr>
  </w:style>
  <w:style w:type="paragraph" w:customStyle="1" w:styleId="66">
    <w:name w:val="首行缩进"/>
    <w:basedOn w:val="1"/>
    <w:qFormat/>
    <w:uiPriority w:val="0"/>
    <w:pPr>
      <w:ind w:firstLine="480" w:firstLineChars="200"/>
    </w:pPr>
    <w:rPr>
      <w:rFonts w:ascii="Times New Roman" w:hAnsi="Times New Roman"/>
      <w:szCs w:val="20"/>
      <w:lang w:val="zh-CN"/>
    </w:rPr>
  </w:style>
  <w:style w:type="character" w:customStyle="1" w:styleId="67">
    <w:name w:val="正文文本 字符"/>
    <w:basedOn w:val="56"/>
    <w:link w:val="3"/>
    <w:qFormat/>
    <w:uiPriority w:val="0"/>
    <w:rPr>
      <w:rFonts w:ascii="宋体" w:hAnsi="宋体" w:eastAsia="宋体" w:cs="宋体"/>
      <w:kern w:val="0"/>
      <w:sz w:val="24"/>
      <w:szCs w:val="24"/>
    </w:rPr>
  </w:style>
  <w:style w:type="character" w:customStyle="1" w:styleId="68">
    <w:name w:val="正文文本缩进 字符"/>
    <w:basedOn w:val="56"/>
    <w:link w:val="22"/>
    <w:qFormat/>
    <w:uiPriority w:val="0"/>
  </w:style>
  <w:style w:type="character" w:customStyle="1" w:styleId="69">
    <w:name w:val="正文首行缩进 2 字符"/>
    <w:basedOn w:val="68"/>
    <w:link w:val="51"/>
    <w:qFormat/>
    <w:uiPriority w:val="0"/>
  </w:style>
  <w:style w:type="character" w:customStyle="1" w:styleId="70">
    <w:name w:val="正文文本 3 字符"/>
    <w:basedOn w:val="56"/>
    <w:link w:val="20"/>
    <w:qFormat/>
    <w:uiPriority w:val="0"/>
    <w:rPr>
      <w:sz w:val="16"/>
      <w:szCs w:val="16"/>
    </w:rPr>
  </w:style>
  <w:style w:type="character" w:customStyle="1" w:styleId="71">
    <w:name w:val="标题 1 字符"/>
    <w:basedOn w:val="56"/>
    <w:link w:val="4"/>
    <w:qFormat/>
    <w:uiPriority w:val="0"/>
    <w:rPr>
      <w:rFonts w:ascii="Calibri" w:hAnsi="Calibri" w:eastAsia="宋体" w:cs="Times New Roman"/>
      <w:b/>
      <w:kern w:val="44"/>
      <w:sz w:val="44"/>
      <w:szCs w:val="20"/>
    </w:rPr>
  </w:style>
  <w:style w:type="character" w:customStyle="1" w:styleId="72">
    <w:name w:val="标题 2 字符"/>
    <w:basedOn w:val="56"/>
    <w:link w:val="5"/>
    <w:qFormat/>
    <w:uiPriority w:val="0"/>
    <w:rPr>
      <w:rFonts w:ascii="Arial" w:hAnsi="Arial" w:eastAsia="黑体" w:cs="Times New Roman"/>
      <w:b/>
      <w:sz w:val="32"/>
      <w:szCs w:val="20"/>
    </w:rPr>
  </w:style>
  <w:style w:type="character" w:customStyle="1" w:styleId="73">
    <w:name w:val="标题 3 字符"/>
    <w:basedOn w:val="56"/>
    <w:link w:val="6"/>
    <w:qFormat/>
    <w:uiPriority w:val="0"/>
    <w:rPr>
      <w:rFonts w:ascii="Calibri" w:hAnsi="Calibri" w:eastAsia="宋体" w:cs="Times New Roman"/>
      <w:b/>
      <w:sz w:val="32"/>
      <w:szCs w:val="20"/>
    </w:rPr>
  </w:style>
  <w:style w:type="character" w:customStyle="1" w:styleId="74">
    <w:name w:val="标题 4 字符"/>
    <w:basedOn w:val="56"/>
    <w:link w:val="7"/>
    <w:qFormat/>
    <w:uiPriority w:val="0"/>
    <w:rPr>
      <w:rFonts w:ascii="Arial" w:hAnsi="Arial" w:eastAsia="黑体" w:cs="Times New Roman"/>
      <w:b/>
      <w:bCs/>
      <w:sz w:val="28"/>
      <w:szCs w:val="28"/>
    </w:rPr>
  </w:style>
  <w:style w:type="character" w:customStyle="1" w:styleId="75">
    <w:name w:val="标题 5 字符"/>
    <w:basedOn w:val="56"/>
    <w:link w:val="8"/>
    <w:qFormat/>
    <w:uiPriority w:val="0"/>
    <w:rPr>
      <w:rFonts w:ascii="Arial" w:hAnsi="Arial" w:eastAsia="黑体" w:cs="Times New Roman"/>
      <w:bCs/>
      <w:sz w:val="24"/>
      <w:szCs w:val="32"/>
    </w:rPr>
  </w:style>
  <w:style w:type="character" w:customStyle="1" w:styleId="76">
    <w:name w:val="标题 6 字符"/>
    <w:basedOn w:val="56"/>
    <w:link w:val="9"/>
    <w:qFormat/>
    <w:uiPriority w:val="0"/>
    <w:rPr>
      <w:rFonts w:ascii="Arial" w:hAnsi="Arial" w:eastAsia="黑体" w:cs="Times New Roman"/>
      <w:b/>
      <w:bCs/>
      <w:kern w:val="0"/>
      <w:sz w:val="24"/>
      <w:szCs w:val="20"/>
    </w:rPr>
  </w:style>
  <w:style w:type="character" w:customStyle="1" w:styleId="77">
    <w:name w:val="标题 7 字符"/>
    <w:basedOn w:val="56"/>
    <w:link w:val="10"/>
    <w:qFormat/>
    <w:uiPriority w:val="0"/>
    <w:rPr>
      <w:rFonts w:ascii="Calibri" w:hAnsi="Calibri" w:eastAsia="宋体" w:cs="Times New Roman"/>
      <w:b/>
      <w:bCs/>
      <w:kern w:val="0"/>
      <w:sz w:val="24"/>
      <w:szCs w:val="20"/>
    </w:rPr>
  </w:style>
  <w:style w:type="character" w:customStyle="1" w:styleId="78">
    <w:name w:val="标题 8 字符"/>
    <w:basedOn w:val="56"/>
    <w:link w:val="11"/>
    <w:qFormat/>
    <w:uiPriority w:val="0"/>
    <w:rPr>
      <w:rFonts w:ascii="Arial" w:hAnsi="Arial" w:eastAsia="黑体" w:cs="Times New Roman"/>
      <w:kern w:val="0"/>
      <w:sz w:val="24"/>
      <w:szCs w:val="20"/>
    </w:rPr>
  </w:style>
  <w:style w:type="character" w:customStyle="1" w:styleId="79">
    <w:name w:val="标题 9 字符"/>
    <w:basedOn w:val="56"/>
    <w:link w:val="12"/>
    <w:qFormat/>
    <w:uiPriority w:val="0"/>
    <w:rPr>
      <w:rFonts w:ascii="Arial" w:hAnsi="Arial" w:eastAsia="黑体" w:cs="Times New Roman"/>
      <w:kern w:val="0"/>
      <w:sz w:val="20"/>
      <w:szCs w:val="21"/>
    </w:rPr>
  </w:style>
  <w:style w:type="character" w:customStyle="1" w:styleId="80">
    <w:name w:val="明显引用 字符"/>
    <w:link w:val="81"/>
    <w:qFormat/>
    <w:uiPriority w:val="0"/>
    <w:rPr>
      <w:rFonts w:ascii="Calibri" w:hAnsi="Calibri" w:eastAsia="宋体" w:cs="Times New Roman"/>
      <w:b/>
      <w:i/>
      <w:kern w:val="0"/>
      <w:sz w:val="24"/>
    </w:rPr>
  </w:style>
  <w:style w:type="paragraph" w:styleId="81">
    <w:name w:val="Intense Quote"/>
    <w:basedOn w:val="1"/>
    <w:next w:val="1"/>
    <w:link w:val="80"/>
    <w:qFormat/>
    <w:uiPriority w:val="0"/>
    <w:pPr>
      <w:widowControl/>
      <w:ind w:left="720" w:right="720"/>
      <w:jc w:val="left"/>
    </w:pPr>
    <w:rPr>
      <w:rFonts w:ascii="Calibri" w:hAnsi="Calibri" w:eastAsia="宋体" w:cs="Times New Roman"/>
      <w:b/>
      <w:i/>
      <w:kern w:val="0"/>
      <w:sz w:val="24"/>
    </w:rPr>
  </w:style>
  <w:style w:type="character" w:customStyle="1" w:styleId="82">
    <w:name w:val="HTML Markup"/>
    <w:qFormat/>
    <w:uiPriority w:val="0"/>
    <w:rPr>
      <w:vanish/>
      <w:color w:val="FF0000"/>
    </w:rPr>
  </w:style>
  <w:style w:type="character" w:customStyle="1" w:styleId="83">
    <w:name w:val="Char Char17"/>
    <w:qFormat/>
    <w:uiPriority w:val="0"/>
    <w:rPr>
      <w:rFonts w:ascii="Cambria" w:hAnsi="Cambria" w:eastAsia="宋体" w:cs="Times New Roman"/>
      <w:b/>
      <w:bCs/>
      <w:kern w:val="2"/>
      <w:sz w:val="32"/>
      <w:szCs w:val="32"/>
    </w:rPr>
  </w:style>
  <w:style w:type="character" w:customStyle="1" w:styleId="84">
    <w:name w:val="正文文本 Char1"/>
    <w:qFormat/>
    <w:uiPriority w:val="0"/>
    <w:rPr>
      <w:kern w:val="2"/>
      <w:sz w:val="21"/>
      <w:szCs w:val="22"/>
    </w:rPr>
  </w:style>
  <w:style w:type="character" w:customStyle="1" w:styleId="85">
    <w:name w:val="标题 1 Char_1"/>
    <w:link w:val="86"/>
    <w:qFormat/>
    <w:uiPriority w:val="0"/>
    <w:rPr>
      <w:rFonts w:ascii="Times New Roman" w:hAnsi="Times New Roman"/>
      <w:b/>
      <w:kern w:val="44"/>
      <w:sz w:val="44"/>
    </w:rPr>
  </w:style>
  <w:style w:type="paragraph" w:customStyle="1" w:styleId="86">
    <w:name w:val="标题 1_1"/>
    <w:basedOn w:val="87"/>
    <w:next w:val="87"/>
    <w:link w:val="85"/>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87">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88">
    <w:name w:val="font161"/>
    <w:qFormat/>
    <w:uiPriority w:val="0"/>
    <w:rPr>
      <w:b/>
      <w:bCs/>
      <w:sz w:val="32"/>
      <w:szCs w:val="32"/>
    </w:rPr>
  </w:style>
  <w:style w:type="character" w:customStyle="1" w:styleId="89">
    <w:name w:val="不明显强调1"/>
    <w:qFormat/>
    <w:uiPriority w:val="0"/>
    <w:rPr>
      <w:i/>
      <w:color w:val="5A5A5A"/>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5"/>
    <w:next w:val="25"/>
    <w:link w:val="90"/>
    <w:qFormat/>
    <w:uiPriority w:val="0"/>
    <w:rPr>
      <w:rFonts w:eastAsiaTheme="minorEastAsia" w:cstheme="minorBidi"/>
      <w:bCs/>
      <w:sz w:val="24"/>
      <w:szCs w:val="32"/>
    </w:rPr>
  </w:style>
  <w:style w:type="character" w:customStyle="1" w:styleId="92">
    <w:name w:val="Char Char12"/>
    <w:qFormat/>
    <w:locked/>
    <w:uiPriority w:val="0"/>
    <w:rPr>
      <w:rFonts w:eastAsia="宋体"/>
      <w:b/>
      <w:bCs/>
      <w:kern w:val="2"/>
      <w:sz w:val="28"/>
      <w:szCs w:val="28"/>
      <w:lang w:bidi="ar-SA"/>
    </w:rPr>
  </w:style>
  <w:style w:type="character" w:customStyle="1" w:styleId="93">
    <w:name w:val="无间隔 字符"/>
    <w:link w:val="94"/>
    <w:qFormat/>
    <w:locked/>
    <w:uiPriority w:val="0"/>
    <w:rPr>
      <w:sz w:val="22"/>
    </w:rPr>
  </w:style>
  <w:style w:type="paragraph" w:styleId="94">
    <w:name w:val="No Spacing"/>
    <w:link w:val="93"/>
    <w:qFormat/>
    <w:uiPriority w:val="0"/>
    <w:rPr>
      <w:rFonts w:asciiTheme="minorHAnsi" w:hAnsiTheme="minorHAnsi" w:eastAsiaTheme="minorEastAsia" w:cstheme="minorBidi"/>
      <w:kern w:val="2"/>
      <w:sz w:val="22"/>
      <w:szCs w:val="22"/>
      <w:lang w:val="en-US" w:eastAsia="zh-CN" w:bidi="ar-SA"/>
    </w:rPr>
  </w:style>
  <w:style w:type="character" w:customStyle="1" w:styleId="95">
    <w:name w:val="Comment"/>
    <w:qFormat/>
    <w:uiPriority w:val="0"/>
    <w:rPr>
      <w:vanish/>
    </w:rPr>
  </w:style>
  <w:style w:type="character" w:customStyle="1" w:styleId="96">
    <w:name w:val="标题 2 Char_3"/>
    <w:link w:val="97"/>
    <w:qFormat/>
    <w:uiPriority w:val="0"/>
    <w:rPr>
      <w:rFonts w:ascii="Arial" w:hAnsi="Arial" w:eastAsia="黑体"/>
      <w:b/>
      <w:sz w:val="32"/>
    </w:rPr>
  </w:style>
  <w:style w:type="paragraph" w:customStyle="1" w:styleId="97">
    <w:name w:val="标题 2_3"/>
    <w:basedOn w:val="98"/>
    <w:next w:val="98"/>
    <w:link w:val="96"/>
    <w:qFormat/>
    <w:uiPriority w:val="0"/>
    <w:pPr>
      <w:keepNext/>
      <w:keepLines/>
      <w:spacing w:before="260" w:after="260" w:line="413" w:lineRule="auto"/>
      <w:outlineLvl w:val="1"/>
    </w:pPr>
    <w:rPr>
      <w:rFonts w:ascii="Arial" w:hAnsi="Arial" w:eastAsia="黑体" w:cstheme="minorBidi"/>
      <w:b/>
      <w:sz w:val="32"/>
      <w:szCs w:val="22"/>
    </w:rPr>
  </w:style>
  <w:style w:type="paragraph" w:customStyle="1" w:styleId="98">
    <w:name w:val="正文_5"/>
    <w:qFormat/>
    <w:uiPriority w:val="0"/>
    <w:pPr>
      <w:widowControl w:val="0"/>
      <w:jc w:val="both"/>
    </w:pPr>
    <w:rPr>
      <w:rFonts w:ascii="Calibri" w:hAnsi="Calibri" w:eastAsia="宋体" w:cs="Times New Roman"/>
      <w:kern w:val="2"/>
      <w:sz w:val="21"/>
      <w:lang w:val="en-US" w:eastAsia="zh-CN" w:bidi="ar-SA"/>
    </w:rPr>
  </w:style>
  <w:style w:type="character" w:customStyle="1" w:styleId="99">
    <w:name w:val="批注框文本 Char1"/>
    <w:qFormat/>
    <w:uiPriority w:val="0"/>
    <w:rPr>
      <w:kern w:val="2"/>
      <w:sz w:val="18"/>
      <w:szCs w:val="18"/>
    </w:rPr>
  </w:style>
  <w:style w:type="character" w:customStyle="1" w:styleId="100">
    <w:name w:val="副标题 Char1"/>
    <w:qFormat/>
    <w:uiPriority w:val="11"/>
    <w:rPr>
      <w:rFonts w:hint="default" w:ascii="Cambria" w:hAnsi="Cambria" w:cs="Times New Roman"/>
      <w:b/>
      <w:bCs/>
      <w:kern w:val="28"/>
      <w:sz w:val="32"/>
      <w:szCs w:val="32"/>
    </w:rPr>
  </w:style>
  <w:style w:type="character" w:customStyle="1" w:styleId="101">
    <w:name w:val="Char Char5"/>
    <w:qFormat/>
    <w:uiPriority w:val="0"/>
    <w:rPr>
      <w:rFonts w:eastAsia="黑体"/>
      <w:b/>
      <w:bCs/>
      <w:sz w:val="72"/>
      <w:szCs w:val="44"/>
      <w:lang w:val="en-US" w:eastAsia="zh-CN" w:bidi="ar-SA"/>
    </w:rPr>
  </w:style>
  <w:style w:type="character" w:customStyle="1" w:styleId="102">
    <w:name w:val="CODE"/>
    <w:qFormat/>
    <w:uiPriority w:val="0"/>
    <w:rPr>
      <w:rFonts w:ascii="Courier New" w:hAnsi="Courier New"/>
      <w:sz w:val="20"/>
    </w:rPr>
  </w:style>
  <w:style w:type="character" w:customStyle="1" w:styleId="103">
    <w:name w:val="Definition"/>
    <w:qFormat/>
    <w:uiPriority w:val="0"/>
    <w:rPr>
      <w:i/>
    </w:rPr>
  </w:style>
  <w:style w:type="character" w:customStyle="1" w:styleId="104">
    <w:name w:val="样式 Char"/>
    <w:link w:val="105"/>
    <w:qFormat/>
    <w:uiPriority w:val="0"/>
    <w:rPr>
      <w:rFonts w:ascii="Arial" w:hAnsi="Arial" w:eastAsia="黑体" w:cs="Times New Roman"/>
      <w:bCs/>
      <w:sz w:val="24"/>
      <w:szCs w:val="32"/>
    </w:rPr>
  </w:style>
  <w:style w:type="paragraph" w:customStyle="1" w:styleId="105">
    <w:name w:val="样式"/>
    <w:basedOn w:val="106"/>
    <w:link w:val="104"/>
    <w:qFormat/>
    <w:uiPriority w:val="0"/>
    <w:pPr>
      <w:outlineLvl w:val="9"/>
    </w:pPr>
  </w:style>
  <w:style w:type="paragraph" w:customStyle="1" w:styleId="106">
    <w:name w:val="标题5"/>
    <w:basedOn w:val="8"/>
    <w:link w:val="193"/>
    <w:qFormat/>
    <w:uiPriority w:val="0"/>
  </w:style>
  <w:style w:type="character" w:customStyle="1" w:styleId="107">
    <w:name w:val="标题 1 Char_0"/>
    <w:link w:val="108"/>
    <w:qFormat/>
    <w:uiPriority w:val="0"/>
    <w:rPr>
      <w:rFonts w:ascii="Times New Roman" w:hAnsi="Times New Roman"/>
      <w:b/>
      <w:kern w:val="44"/>
      <w:sz w:val="44"/>
    </w:rPr>
  </w:style>
  <w:style w:type="paragraph" w:customStyle="1" w:styleId="108">
    <w:name w:val="标题 1_0"/>
    <w:basedOn w:val="109"/>
    <w:next w:val="109"/>
    <w:link w:val="107"/>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109">
    <w:name w:val="正文_0"/>
    <w:qFormat/>
    <w:uiPriority w:val="0"/>
    <w:pPr>
      <w:widowControl w:val="0"/>
      <w:jc w:val="both"/>
    </w:pPr>
    <w:rPr>
      <w:rFonts w:ascii="Calibri" w:hAnsi="Calibri" w:eastAsia="宋体" w:cs="Times New Roman"/>
      <w:kern w:val="2"/>
      <w:sz w:val="21"/>
      <w:lang w:val="en-US" w:eastAsia="zh-CN" w:bidi="ar-SA"/>
    </w:rPr>
  </w:style>
  <w:style w:type="character" w:customStyle="1" w:styleId="110">
    <w:name w:val="正文文本缩进 3 字符"/>
    <w:link w:val="42"/>
    <w:qFormat/>
    <w:uiPriority w:val="0"/>
    <w:rPr>
      <w:rFonts w:ascii="Calibri" w:hAnsi="Calibri" w:eastAsia="宋体" w:cs="Times New Roman"/>
      <w:sz w:val="16"/>
      <w:szCs w:val="16"/>
    </w:rPr>
  </w:style>
  <w:style w:type="character" w:customStyle="1" w:styleId="111">
    <w:name w:val="ca-41"/>
    <w:qFormat/>
    <w:uiPriority w:val="0"/>
    <w:rPr>
      <w:rFonts w:hint="default" w:ascii="Times New Roman" w:hAnsi="Times New Roman" w:cs="Times New Roman"/>
      <w:color w:val="000000"/>
      <w:sz w:val="21"/>
      <w:szCs w:val="21"/>
    </w:rPr>
  </w:style>
  <w:style w:type="character" w:customStyle="1" w:styleId="112">
    <w:name w:val="CITE"/>
    <w:qFormat/>
    <w:uiPriority w:val="0"/>
    <w:rPr>
      <w:i/>
    </w:rPr>
  </w:style>
  <w:style w:type="character" w:customStyle="1" w:styleId="113">
    <w:name w:val="正文文本 3 Char2"/>
    <w:semiHidden/>
    <w:qFormat/>
    <w:uiPriority w:val="99"/>
    <w:rPr>
      <w:rFonts w:hint="default" w:ascii="Times New Roman" w:hAnsi="Times New Roman" w:cs="Times New Roman"/>
      <w:kern w:val="2"/>
      <w:sz w:val="16"/>
      <w:szCs w:val="16"/>
    </w:rPr>
  </w:style>
  <w:style w:type="character" w:customStyle="1" w:styleId="114">
    <w:name w:val="ca-61"/>
    <w:qFormat/>
    <w:uiPriority w:val="0"/>
    <w:rPr>
      <w:rFonts w:hint="default" w:ascii="Times New Roman" w:hAnsi="Times New Roman" w:cs="Times New Roman"/>
      <w:b/>
      <w:bCs/>
      <w:spacing w:val="-20"/>
      <w:sz w:val="21"/>
      <w:szCs w:val="21"/>
    </w:rPr>
  </w:style>
  <w:style w:type="character" w:customStyle="1" w:styleId="115">
    <w:name w:val="Char Char51"/>
    <w:qFormat/>
    <w:locked/>
    <w:uiPriority w:val="0"/>
    <w:rPr>
      <w:rFonts w:ascii="Calibri" w:hAnsi="Calibri"/>
      <w:kern w:val="2"/>
      <w:sz w:val="21"/>
      <w:szCs w:val="22"/>
      <w:lang w:bidi="ar-SA"/>
    </w:rPr>
  </w:style>
  <w:style w:type="character" w:customStyle="1" w:styleId="116">
    <w:name w:val="标题 2 Char Char"/>
    <w:qFormat/>
    <w:uiPriority w:val="0"/>
    <w:rPr>
      <w:rFonts w:ascii="Arial" w:hAnsi="Arial" w:eastAsia="黑体"/>
      <w:b/>
      <w:bCs/>
      <w:kern w:val="2"/>
      <w:sz w:val="32"/>
      <w:szCs w:val="32"/>
      <w:lang w:val="en-US" w:eastAsia="zh-CN"/>
    </w:rPr>
  </w:style>
  <w:style w:type="character" w:customStyle="1" w:styleId="117">
    <w:name w:val="正文文本缩进 Char1"/>
    <w:semiHidden/>
    <w:qFormat/>
    <w:uiPriority w:val="0"/>
    <w:rPr>
      <w:kern w:val="2"/>
      <w:sz w:val="21"/>
      <w:szCs w:val="22"/>
    </w:rPr>
  </w:style>
  <w:style w:type="character" w:customStyle="1" w:styleId="118">
    <w:name w:val="ca-71"/>
    <w:qFormat/>
    <w:uiPriority w:val="0"/>
    <w:rPr>
      <w:rFonts w:hint="eastAsia" w:ascii="宋体" w:hAnsi="宋体" w:eastAsia="宋体"/>
      <w:sz w:val="18"/>
      <w:szCs w:val="18"/>
    </w:rPr>
  </w:style>
  <w:style w:type="character" w:customStyle="1" w:styleId="119">
    <w:name w:val="content1_0_0"/>
    <w:qFormat/>
    <w:uiPriority w:val="0"/>
    <w:rPr>
      <w:sz w:val="21"/>
      <w:szCs w:val="21"/>
      <w:u w:val="single"/>
    </w:rPr>
  </w:style>
  <w:style w:type="character" w:customStyle="1" w:styleId="120">
    <w:name w:val="日期 Char1"/>
    <w:qFormat/>
    <w:uiPriority w:val="0"/>
    <w:rPr>
      <w:kern w:val="2"/>
      <w:sz w:val="21"/>
      <w:szCs w:val="22"/>
    </w:rPr>
  </w:style>
  <w:style w:type="character" w:customStyle="1" w:styleId="121">
    <w:name w:val="Char Char8"/>
    <w:qFormat/>
    <w:uiPriority w:val="0"/>
    <w:rPr>
      <w:rFonts w:ascii="Arial" w:hAnsi="Arial" w:eastAsia="黑体"/>
      <w:b/>
      <w:bCs/>
      <w:kern w:val="2"/>
      <w:sz w:val="32"/>
      <w:szCs w:val="32"/>
      <w:lang w:val="en-US" w:eastAsia="zh-CN" w:bidi="ar-SA"/>
    </w:rPr>
  </w:style>
  <w:style w:type="character" w:customStyle="1" w:styleId="122">
    <w:name w:val="grame"/>
    <w:qFormat/>
    <w:uiPriority w:val="0"/>
  </w:style>
  <w:style w:type="character" w:customStyle="1" w:styleId="123">
    <w:name w:val="bottom"/>
    <w:qFormat/>
    <w:uiPriority w:val="0"/>
  </w:style>
  <w:style w:type="character" w:customStyle="1" w:styleId="124">
    <w:name w:val="content1_0"/>
    <w:qFormat/>
    <w:uiPriority w:val="0"/>
    <w:rPr>
      <w:sz w:val="21"/>
      <w:szCs w:val="21"/>
      <w:u w:val="single"/>
    </w:rPr>
  </w:style>
  <w:style w:type="character" w:customStyle="1" w:styleId="125">
    <w:name w:val="批注框文本 字符"/>
    <w:link w:val="34"/>
    <w:qFormat/>
    <w:uiPriority w:val="99"/>
    <w:rPr>
      <w:rFonts w:ascii="Calibri" w:hAnsi="Calibri" w:eastAsia="宋体" w:cs="Times New Roman"/>
      <w:sz w:val="18"/>
      <w:szCs w:val="18"/>
    </w:rPr>
  </w:style>
  <w:style w:type="character" w:customStyle="1" w:styleId="126">
    <w:name w:val="textcontents"/>
    <w:qFormat/>
    <w:uiPriority w:val="0"/>
  </w:style>
  <w:style w:type="character" w:customStyle="1" w:styleId="127">
    <w:name w:val="Char Char"/>
    <w:qFormat/>
    <w:uiPriority w:val="0"/>
    <w:rPr>
      <w:rFonts w:eastAsia="宋体"/>
      <w:b/>
      <w:bCs/>
      <w:kern w:val="2"/>
      <w:sz w:val="21"/>
      <w:szCs w:val="24"/>
      <w:lang w:val="en-US" w:eastAsia="zh-CN" w:bidi="ar-SA"/>
    </w:rPr>
  </w:style>
  <w:style w:type="character" w:customStyle="1" w:styleId="128">
    <w:name w:val="标题 2 Char_1"/>
    <w:link w:val="129"/>
    <w:qFormat/>
    <w:uiPriority w:val="0"/>
    <w:rPr>
      <w:rFonts w:ascii="Arial" w:hAnsi="Arial" w:eastAsia="黑体"/>
      <w:b/>
      <w:bCs/>
      <w:sz w:val="32"/>
      <w:szCs w:val="32"/>
    </w:rPr>
  </w:style>
  <w:style w:type="paragraph" w:customStyle="1" w:styleId="129">
    <w:name w:val="标题 2_1"/>
    <w:basedOn w:val="130"/>
    <w:next w:val="130"/>
    <w:link w:val="12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0">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1">
    <w:name w:val="样式 正文缩进正文（首行缩进两字）特点ALT+Z表正文正文非缩进四号段1Normal Indent Char2... Char"/>
    <w:qFormat/>
    <w:uiPriority w:val="0"/>
    <w:rPr>
      <w:rFonts w:hint="eastAsia" w:ascii="宋体" w:hAnsi="宋体" w:eastAsia="黑体"/>
      <w:b/>
      <w:sz w:val="32"/>
      <w:lang w:val="en-US" w:eastAsia="zh-CN"/>
    </w:rPr>
  </w:style>
  <w:style w:type="character" w:customStyle="1" w:styleId="132">
    <w:name w:val="标题 2 Char_1_0"/>
    <w:link w:val="133"/>
    <w:qFormat/>
    <w:uiPriority w:val="0"/>
    <w:rPr>
      <w:rFonts w:ascii="Arial" w:hAnsi="Arial" w:eastAsia="黑体"/>
      <w:b/>
      <w:bCs/>
      <w:sz w:val="32"/>
      <w:szCs w:val="32"/>
    </w:rPr>
  </w:style>
  <w:style w:type="paragraph" w:customStyle="1" w:styleId="133">
    <w:name w:val="标题 2_1_0"/>
    <w:basedOn w:val="134"/>
    <w:next w:val="134"/>
    <w:link w:val="132"/>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书籍标题1"/>
    <w:qFormat/>
    <w:uiPriority w:val="0"/>
    <w:rPr>
      <w:rFonts w:hint="default" w:ascii="Cambria" w:hAnsi="Cambria" w:eastAsia="宋体"/>
      <w:b/>
      <w:i/>
      <w:sz w:val="24"/>
      <w:szCs w:val="24"/>
    </w:rPr>
  </w:style>
  <w:style w:type="character" w:customStyle="1" w:styleId="136">
    <w:name w:val="z-窗体顶端 字符"/>
    <w:link w:val="137"/>
    <w:qFormat/>
    <w:uiPriority w:val="0"/>
    <w:rPr>
      <w:rFonts w:ascii="Arial" w:hAnsi="Arial" w:cs="Arial"/>
      <w:vanish/>
      <w:sz w:val="16"/>
      <w:szCs w:val="16"/>
    </w:rPr>
  </w:style>
  <w:style w:type="paragraph" w:customStyle="1" w:styleId="137">
    <w:name w:val="z-窗体顶端1"/>
    <w:basedOn w:val="1"/>
    <w:next w:val="1"/>
    <w:link w:val="136"/>
    <w:qFormat/>
    <w:uiPriority w:val="0"/>
    <w:pPr>
      <w:pBdr>
        <w:bottom w:val="single" w:color="auto" w:sz="6" w:space="1"/>
      </w:pBdr>
      <w:jc w:val="center"/>
    </w:pPr>
    <w:rPr>
      <w:rFonts w:ascii="Arial" w:hAnsi="Arial" w:cs="Arial"/>
      <w:vanish/>
      <w:sz w:val="16"/>
      <w:szCs w:val="16"/>
    </w:rPr>
  </w:style>
  <w:style w:type="character" w:customStyle="1" w:styleId="138">
    <w:name w:val="标题 1 Char_2"/>
    <w:link w:val="139"/>
    <w:qFormat/>
    <w:uiPriority w:val="0"/>
    <w:rPr>
      <w:rFonts w:cs="宋体"/>
      <w:b/>
      <w:bCs/>
      <w:kern w:val="44"/>
      <w:sz w:val="44"/>
      <w:szCs w:val="44"/>
    </w:rPr>
  </w:style>
  <w:style w:type="paragraph" w:customStyle="1" w:styleId="139">
    <w:name w:val="标题 1_2"/>
    <w:basedOn w:val="140"/>
    <w:next w:val="140"/>
    <w:link w:val="138"/>
    <w:qFormat/>
    <w:uiPriority w:val="0"/>
    <w:pPr>
      <w:keepNext/>
      <w:keepLines/>
      <w:pageBreakBefore/>
      <w:spacing w:line="360" w:lineRule="auto"/>
      <w:jc w:val="center"/>
      <w:outlineLvl w:val="0"/>
    </w:pPr>
    <w:rPr>
      <w:rFonts w:cs="宋体" w:asciiTheme="minorHAnsi" w:hAnsiTheme="minorHAnsi" w:eastAsiaTheme="minorEastAsia"/>
      <w:b/>
      <w:bCs/>
      <w:kern w:val="44"/>
      <w:sz w:val="44"/>
      <w:szCs w:val="44"/>
    </w:rPr>
  </w:style>
  <w:style w:type="paragraph" w:customStyle="1" w:styleId="14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Char Char7"/>
    <w:qFormat/>
    <w:locked/>
    <w:uiPriority w:val="0"/>
    <w:rPr>
      <w:rFonts w:ascii="Arial" w:hAnsi="Arial" w:eastAsia="黑体"/>
      <w:kern w:val="2"/>
      <w:sz w:val="21"/>
      <w:szCs w:val="21"/>
      <w:lang w:bidi="ar-SA"/>
    </w:rPr>
  </w:style>
  <w:style w:type="character" w:customStyle="1" w:styleId="142">
    <w:name w:val="脚注文本 字符"/>
    <w:link w:val="40"/>
    <w:qFormat/>
    <w:uiPriority w:val="0"/>
    <w:rPr>
      <w:rFonts w:ascii="Calibri" w:hAnsi="Calibri" w:eastAsia="宋体" w:cs="Times New Roman"/>
      <w:sz w:val="20"/>
      <w:szCs w:val="20"/>
    </w:rPr>
  </w:style>
  <w:style w:type="character" w:customStyle="1" w:styleId="143">
    <w:name w:val="Char Char9_0"/>
    <w:qFormat/>
    <w:locked/>
    <w:uiPriority w:val="0"/>
    <w:rPr>
      <w:rFonts w:eastAsia="宋体"/>
      <w:b/>
      <w:bCs/>
      <w:kern w:val="2"/>
      <w:sz w:val="24"/>
      <w:szCs w:val="24"/>
      <w:lang w:bidi="ar-SA"/>
    </w:rPr>
  </w:style>
  <w:style w:type="character" w:customStyle="1" w:styleId="144">
    <w:name w:val="font11_0"/>
    <w:qFormat/>
    <w:uiPriority w:val="0"/>
    <w:rPr>
      <w:rFonts w:hint="eastAsia" w:ascii="宋体" w:hAnsi="宋体" w:eastAsia="宋体" w:cs="宋体"/>
      <w:color w:val="000000"/>
      <w:sz w:val="20"/>
      <w:szCs w:val="20"/>
    </w:rPr>
  </w:style>
  <w:style w:type="character" w:customStyle="1" w:styleId="145">
    <w:name w:val="ca-11"/>
    <w:qFormat/>
    <w:uiPriority w:val="0"/>
    <w:rPr>
      <w:rFonts w:hint="default" w:ascii="Times New Roman" w:hAnsi="Times New Roman" w:cs="Times New Roman"/>
      <w:sz w:val="28"/>
      <w:szCs w:val="28"/>
    </w:rPr>
  </w:style>
  <w:style w:type="character" w:customStyle="1" w:styleId="146">
    <w:name w:val="页码1"/>
    <w:qFormat/>
    <w:uiPriority w:val="0"/>
  </w:style>
  <w:style w:type="character" w:customStyle="1" w:styleId="147">
    <w:name w:val="标题 字符"/>
    <w:link w:val="49"/>
    <w:qFormat/>
    <w:uiPriority w:val="0"/>
    <w:rPr>
      <w:rFonts w:ascii="Arial" w:hAnsi="Arial" w:eastAsia="宋体" w:cs="Times New Roman"/>
      <w:b/>
      <w:kern w:val="0"/>
      <w:sz w:val="32"/>
      <w:szCs w:val="20"/>
    </w:rPr>
  </w:style>
  <w:style w:type="character" w:customStyle="1" w:styleId="148">
    <w:name w:val="Char Char9"/>
    <w:qFormat/>
    <w:uiPriority w:val="0"/>
    <w:rPr>
      <w:kern w:val="2"/>
      <w:sz w:val="21"/>
      <w:szCs w:val="22"/>
    </w:rPr>
  </w:style>
  <w:style w:type="character" w:customStyle="1" w:styleId="149">
    <w:name w:val="批注主题 Char1"/>
    <w:qFormat/>
    <w:uiPriority w:val="0"/>
    <w:rPr>
      <w:b/>
      <w:bCs/>
      <w:kern w:val="2"/>
      <w:sz w:val="21"/>
      <w:szCs w:val="22"/>
    </w:rPr>
  </w:style>
  <w:style w:type="character" w:customStyle="1" w:styleId="150">
    <w:name w:val="标题5 Char Char"/>
    <w:qFormat/>
    <w:uiPriority w:val="0"/>
    <w:rPr>
      <w:rFonts w:ascii="Arial" w:hAnsi="Arial"/>
      <w:b/>
      <w:bCs/>
      <w:sz w:val="24"/>
      <w:szCs w:val="32"/>
      <w:lang w:bidi="ar-SA"/>
    </w:rPr>
  </w:style>
  <w:style w:type="character" w:customStyle="1" w:styleId="151">
    <w:name w:val="Char Char33"/>
    <w:qFormat/>
    <w:uiPriority w:val="0"/>
    <w:rPr>
      <w:rFonts w:ascii="Arial" w:hAnsi="Arial" w:eastAsia="黑体"/>
      <w:b/>
      <w:kern w:val="2"/>
      <w:sz w:val="32"/>
      <w:lang w:bidi="ar-SA"/>
    </w:rPr>
  </w:style>
  <w:style w:type="character" w:customStyle="1" w:styleId="152">
    <w:name w:val="文档结构图 Char1"/>
    <w:qFormat/>
    <w:uiPriority w:val="0"/>
    <w:rPr>
      <w:rFonts w:ascii="宋体"/>
      <w:kern w:val="2"/>
      <w:sz w:val="18"/>
      <w:szCs w:val="18"/>
    </w:rPr>
  </w:style>
  <w:style w:type="character" w:customStyle="1" w:styleId="153">
    <w:name w:val="标题6 Char"/>
    <w:link w:val="154"/>
    <w:qFormat/>
    <w:uiPriority w:val="0"/>
    <w:rPr>
      <w:rFonts w:ascii="宋体" w:hAnsi="宋体" w:eastAsia="黑体" w:cs="宋体"/>
      <w:sz w:val="32"/>
      <w:szCs w:val="32"/>
    </w:rPr>
  </w:style>
  <w:style w:type="paragraph" w:customStyle="1" w:styleId="154">
    <w:name w:val="标题6"/>
    <w:basedOn w:val="1"/>
    <w:link w:val="153"/>
    <w:qFormat/>
    <w:uiPriority w:val="0"/>
    <w:pPr>
      <w:keepNext/>
      <w:keepLines/>
      <w:spacing w:line="400" w:lineRule="exact"/>
      <w:jc w:val="center"/>
      <w:outlineLvl w:val="2"/>
    </w:pPr>
    <w:rPr>
      <w:rFonts w:ascii="宋体" w:hAnsi="宋体" w:eastAsia="黑体" w:cs="宋体"/>
      <w:sz w:val="32"/>
      <w:szCs w:val="32"/>
    </w:rPr>
  </w:style>
  <w:style w:type="character" w:customStyle="1" w:styleId="155">
    <w:name w:val="Char Char11_0"/>
    <w:qFormat/>
    <w:uiPriority w:val="0"/>
    <w:rPr>
      <w:rFonts w:ascii="Cambria" w:hAnsi="Cambria" w:eastAsia="宋体" w:cs="Times New Roman"/>
      <w:kern w:val="2"/>
      <w:sz w:val="24"/>
      <w:szCs w:val="24"/>
    </w:rPr>
  </w:style>
  <w:style w:type="character" w:customStyle="1" w:styleId="156">
    <w:name w:val="Char Char11"/>
    <w:qFormat/>
    <w:uiPriority w:val="0"/>
    <w:rPr>
      <w:rFonts w:hint="default" w:ascii="Cambria" w:hAnsi="Cambria" w:eastAsia="宋体"/>
      <w:b/>
      <w:bCs/>
      <w:kern w:val="32"/>
      <w:sz w:val="32"/>
      <w:szCs w:val="32"/>
    </w:rPr>
  </w:style>
  <w:style w:type="character" w:customStyle="1" w:styleId="157">
    <w:name w:val="Char Char Char"/>
    <w:qFormat/>
    <w:locked/>
    <w:uiPriority w:val="0"/>
    <w:rPr>
      <w:rFonts w:eastAsia="黑体"/>
      <w:bCs/>
      <w:sz w:val="28"/>
      <w:szCs w:val="32"/>
      <w:lang w:val="en-US" w:eastAsia="zh-CN" w:bidi="ar-SA"/>
    </w:rPr>
  </w:style>
  <w:style w:type="character" w:customStyle="1" w:styleId="158">
    <w:name w:val="标题 2 Char_0_0"/>
    <w:link w:val="159"/>
    <w:qFormat/>
    <w:uiPriority w:val="0"/>
    <w:rPr>
      <w:rFonts w:ascii="Arial" w:hAnsi="Arial" w:eastAsia="黑体"/>
      <w:b/>
      <w:bCs/>
      <w:sz w:val="32"/>
      <w:szCs w:val="32"/>
    </w:rPr>
  </w:style>
  <w:style w:type="paragraph" w:customStyle="1" w:styleId="159">
    <w:name w:val="标题 2_0_0"/>
    <w:basedOn w:val="160"/>
    <w:next w:val="160"/>
    <w:link w:val="15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60">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ca-21"/>
    <w:qFormat/>
    <w:uiPriority w:val="0"/>
    <w:rPr>
      <w:rFonts w:hint="eastAsia" w:ascii="黑体" w:eastAsia="黑体"/>
      <w:sz w:val="28"/>
      <w:szCs w:val="28"/>
    </w:rPr>
  </w:style>
  <w:style w:type="character" w:customStyle="1" w:styleId="162">
    <w:name w:val="Char Char81"/>
    <w:qFormat/>
    <w:uiPriority w:val="0"/>
    <w:rPr>
      <w:rFonts w:hint="default" w:ascii="Arial" w:hAnsi="Arial" w:eastAsia="黑体" w:cs="Arial"/>
      <w:b/>
      <w:bCs/>
      <w:kern w:val="2"/>
      <w:sz w:val="32"/>
      <w:szCs w:val="32"/>
      <w:lang w:val="en-US" w:eastAsia="zh-CN" w:bidi="ar-SA"/>
    </w:rPr>
  </w:style>
  <w:style w:type="character" w:customStyle="1" w:styleId="163">
    <w:name w:val="Char Char3"/>
    <w:qFormat/>
    <w:locked/>
    <w:uiPriority w:val="0"/>
    <w:rPr>
      <w:rFonts w:ascii="Calibri" w:hAnsi="Calibri" w:eastAsia="宋体"/>
      <w:kern w:val="2"/>
      <w:sz w:val="18"/>
      <w:szCs w:val="18"/>
      <w:lang w:val="en-US" w:eastAsia="zh-CN" w:bidi="ar-SA"/>
    </w:rPr>
  </w:style>
  <w:style w:type="character" w:customStyle="1" w:styleId="164">
    <w:name w:val="标题 3 Char_0"/>
    <w:link w:val="165"/>
    <w:qFormat/>
    <w:uiPriority w:val="0"/>
    <w:rPr>
      <w:rFonts w:ascii="Times New Roman" w:hAnsi="Times New Roman"/>
      <w:b/>
      <w:sz w:val="32"/>
    </w:rPr>
  </w:style>
  <w:style w:type="paragraph" w:customStyle="1" w:styleId="165">
    <w:name w:val="标题 3_1"/>
    <w:basedOn w:val="109"/>
    <w:next w:val="109"/>
    <w:link w:val="164"/>
    <w:qFormat/>
    <w:uiPriority w:val="0"/>
    <w:pPr>
      <w:keepNext/>
      <w:keepLines/>
      <w:spacing w:before="260" w:after="260" w:line="413" w:lineRule="auto"/>
      <w:outlineLvl w:val="2"/>
    </w:pPr>
    <w:rPr>
      <w:rFonts w:ascii="Times New Roman" w:hAnsi="Times New Roman" w:eastAsiaTheme="minorEastAsia" w:cstheme="minorBidi"/>
      <w:b/>
      <w:sz w:val="32"/>
      <w:szCs w:val="22"/>
    </w:rPr>
  </w:style>
  <w:style w:type="character" w:customStyle="1" w:styleId="166">
    <w:name w:val="不明显参考1"/>
    <w:qFormat/>
    <w:uiPriority w:val="0"/>
    <w:rPr>
      <w:sz w:val="30"/>
      <w:szCs w:val="24"/>
      <w:u w:val="none"/>
    </w:rPr>
  </w:style>
  <w:style w:type="character" w:customStyle="1" w:styleId="167">
    <w:name w:val="Sample"/>
    <w:qFormat/>
    <w:uiPriority w:val="0"/>
    <w:rPr>
      <w:rFonts w:ascii="Courier New" w:hAnsi="Courier New"/>
    </w:rPr>
  </w:style>
  <w:style w:type="character" w:customStyle="1" w:styleId="168">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69">
    <w:name w:val="Char Char13"/>
    <w:qFormat/>
    <w:locked/>
    <w:uiPriority w:val="0"/>
    <w:rPr>
      <w:rFonts w:eastAsia="宋体"/>
      <w:b/>
      <w:bCs/>
      <w:kern w:val="2"/>
      <w:sz w:val="32"/>
      <w:szCs w:val="32"/>
      <w:lang w:bidi="ar-SA"/>
    </w:rPr>
  </w:style>
  <w:style w:type="character" w:customStyle="1" w:styleId="170">
    <w:name w:val="Char Char15_0"/>
    <w:qFormat/>
    <w:locked/>
    <w:uiPriority w:val="0"/>
    <w:rPr>
      <w:rFonts w:eastAsia="宋体"/>
      <w:b/>
      <w:bCs/>
      <w:kern w:val="44"/>
      <w:sz w:val="44"/>
      <w:szCs w:val="44"/>
      <w:lang w:bidi="ar-SA"/>
    </w:rPr>
  </w:style>
  <w:style w:type="character" w:customStyle="1" w:styleId="171">
    <w:name w:val="Char Char21"/>
    <w:qFormat/>
    <w:uiPriority w:val="0"/>
    <w:rPr>
      <w:rFonts w:ascii="黑体" w:hAnsi="宋体" w:eastAsia="黑体" w:cs="Arial"/>
      <w:b/>
      <w:bCs/>
      <w:sz w:val="30"/>
      <w:szCs w:val="24"/>
    </w:rPr>
  </w:style>
  <w:style w:type="character" w:customStyle="1" w:styleId="172">
    <w:name w:val="纯文本 Char1"/>
    <w:qFormat/>
    <w:uiPriority w:val="99"/>
    <w:rPr>
      <w:rFonts w:ascii="宋体" w:hAnsi="Courier New" w:cs="Courier New"/>
      <w:kern w:val="2"/>
      <w:sz w:val="21"/>
      <w:szCs w:val="21"/>
    </w:rPr>
  </w:style>
  <w:style w:type="character" w:customStyle="1" w:styleId="173">
    <w:name w:val="正文文本 3 Char1"/>
    <w:qFormat/>
    <w:locked/>
    <w:uiPriority w:val="0"/>
    <w:rPr>
      <w:sz w:val="16"/>
      <w:lang w:eastAsia="en-US" w:bidi="en-US"/>
    </w:rPr>
  </w:style>
  <w:style w:type="character" w:customStyle="1" w:styleId="174">
    <w:name w:val="Typewriter"/>
    <w:qFormat/>
    <w:uiPriority w:val="0"/>
    <w:rPr>
      <w:rFonts w:ascii="Courier New" w:hAnsi="Courier New"/>
      <w:sz w:val="20"/>
    </w:rPr>
  </w:style>
  <w:style w:type="character" w:customStyle="1" w:styleId="175">
    <w:name w:val="页眉 字符"/>
    <w:link w:val="36"/>
    <w:qFormat/>
    <w:uiPriority w:val="0"/>
    <w:rPr>
      <w:sz w:val="18"/>
      <w:szCs w:val="18"/>
    </w:rPr>
  </w:style>
  <w:style w:type="character" w:customStyle="1" w:styleId="176">
    <w:name w:val="引用 字符"/>
    <w:link w:val="177"/>
    <w:qFormat/>
    <w:uiPriority w:val="0"/>
    <w:rPr>
      <w:rFonts w:ascii="Calibri" w:hAnsi="Calibri" w:eastAsia="宋体" w:cs="Times New Roman"/>
      <w:i/>
      <w:kern w:val="0"/>
      <w:sz w:val="24"/>
    </w:rPr>
  </w:style>
  <w:style w:type="paragraph" w:styleId="177">
    <w:name w:val="Quote"/>
    <w:basedOn w:val="1"/>
    <w:next w:val="1"/>
    <w:link w:val="176"/>
    <w:qFormat/>
    <w:uiPriority w:val="0"/>
    <w:pPr>
      <w:widowControl/>
      <w:jc w:val="left"/>
    </w:pPr>
    <w:rPr>
      <w:rFonts w:ascii="Calibri" w:hAnsi="Calibri" w:eastAsia="宋体" w:cs="Times New Roman"/>
      <w:i/>
      <w:kern w:val="0"/>
      <w:sz w:val="24"/>
    </w:rPr>
  </w:style>
  <w:style w:type="character" w:customStyle="1" w:styleId="178">
    <w:name w:val="Char Char16_0"/>
    <w:qFormat/>
    <w:uiPriority w:val="0"/>
    <w:rPr>
      <w:b/>
      <w:bCs/>
      <w:kern w:val="2"/>
      <w:sz w:val="32"/>
      <w:szCs w:val="32"/>
    </w:rPr>
  </w:style>
  <w:style w:type="character" w:customStyle="1" w:styleId="179">
    <w:name w:val="纯文本 字符"/>
    <w:link w:val="28"/>
    <w:qFormat/>
    <w:uiPriority w:val="99"/>
    <w:rPr>
      <w:rFonts w:ascii="Courier New" w:hAnsi="Courier New" w:eastAsia="宋体" w:cs="Times New Roman"/>
      <w:szCs w:val="20"/>
    </w:rPr>
  </w:style>
  <w:style w:type="character" w:customStyle="1" w:styleId="180">
    <w:name w:val="Char Char2"/>
    <w:qFormat/>
    <w:uiPriority w:val="0"/>
    <w:rPr>
      <w:rFonts w:hint="eastAsia" w:ascii="宋体" w:hAnsi="宋体" w:eastAsia="宋体"/>
      <w:kern w:val="2"/>
      <w:sz w:val="21"/>
      <w:szCs w:val="24"/>
      <w:lang w:val="en-US" w:eastAsia="zh-CN" w:bidi="ar-SA"/>
    </w:rPr>
  </w:style>
  <w:style w:type="character" w:customStyle="1" w:styleId="181">
    <w:name w:val="font11"/>
    <w:qFormat/>
    <w:uiPriority w:val="0"/>
    <w:rPr>
      <w:rFonts w:hint="eastAsia" w:ascii="宋体" w:hAnsi="宋体" w:eastAsia="宋体" w:cs="宋体"/>
      <w:color w:val="000000"/>
      <w:sz w:val="20"/>
      <w:szCs w:val="20"/>
    </w:rPr>
  </w:style>
  <w:style w:type="character" w:customStyle="1" w:styleId="182">
    <w:name w:val="引用 Char1"/>
    <w:qFormat/>
    <w:uiPriority w:val="29"/>
    <w:rPr>
      <w:rFonts w:hint="default" w:ascii="Times New Roman" w:hAnsi="Times New Roman" w:cs="Times New Roman"/>
      <w:i/>
      <w:iCs/>
      <w:color w:val="000000"/>
      <w:kern w:val="2"/>
      <w:sz w:val="21"/>
      <w:szCs w:val="24"/>
    </w:rPr>
  </w:style>
  <w:style w:type="character" w:customStyle="1" w:styleId="183">
    <w:name w:val="Char Char34"/>
    <w:qFormat/>
    <w:uiPriority w:val="0"/>
    <w:rPr>
      <w:rFonts w:eastAsia="宋体"/>
      <w:b/>
      <w:kern w:val="44"/>
      <w:sz w:val="44"/>
      <w:lang w:bidi="ar-SA"/>
    </w:rPr>
  </w:style>
  <w:style w:type="character" w:customStyle="1" w:styleId="184">
    <w:name w:val="Keyboard"/>
    <w:qFormat/>
    <w:uiPriority w:val="0"/>
    <w:rPr>
      <w:rFonts w:ascii="Courier New" w:hAnsi="Courier New"/>
      <w:b/>
      <w:sz w:val="20"/>
    </w:rPr>
  </w:style>
  <w:style w:type="character" w:customStyle="1" w:styleId="185">
    <w:name w:val="正文文本 2 字符"/>
    <w:link w:val="46"/>
    <w:qFormat/>
    <w:uiPriority w:val="0"/>
    <w:rPr>
      <w:rFonts w:ascii="Times New Roman" w:hAnsi="宋体" w:eastAsia="方正小标宋_GBK" w:cs="Times New Roman"/>
      <w:spacing w:val="-20"/>
      <w:kern w:val="0"/>
      <w:sz w:val="44"/>
      <w:szCs w:val="32"/>
    </w:rPr>
  </w:style>
  <w:style w:type="character" w:customStyle="1" w:styleId="186">
    <w:name w:val="批注文字 Char Char"/>
    <w:qFormat/>
    <w:uiPriority w:val="0"/>
    <w:rPr>
      <w:rFonts w:ascii="宋体" w:hAnsi="Times New Roman" w:eastAsia="宋体" w:cs="Times New Roman"/>
      <w:sz w:val="28"/>
      <w:szCs w:val="20"/>
    </w:rPr>
  </w:style>
  <w:style w:type="character" w:customStyle="1" w:styleId="187">
    <w:name w:val="ca-51"/>
    <w:qFormat/>
    <w:uiPriority w:val="0"/>
    <w:rPr>
      <w:rFonts w:hint="eastAsia" w:ascii="宋体" w:hAnsi="宋体" w:eastAsia="宋体"/>
      <w:b/>
      <w:bCs/>
      <w:spacing w:val="-20"/>
      <w:sz w:val="21"/>
      <w:szCs w:val="21"/>
    </w:rPr>
  </w:style>
  <w:style w:type="character" w:customStyle="1" w:styleId="188">
    <w:name w:val="content1"/>
    <w:qFormat/>
    <w:uiPriority w:val="0"/>
    <w:rPr>
      <w:sz w:val="21"/>
      <w:szCs w:val="21"/>
      <w:u w:val="single"/>
    </w:rPr>
  </w:style>
  <w:style w:type="character" w:customStyle="1" w:styleId="189">
    <w:name w:val="Char Char14"/>
    <w:qFormat/>
    <w:locked/>
    <w:uiPriority w:val="0"/>
    <w:rPr>
      <w:rFonts w:eastAsia="宋体"/>
      <w:b/>
      <w:bCs/>
      <w:kern w:val="2"/>
      <w:sz w:val="32"/>
      <w:szCs w:val="32"/>
      <w:lang w:bidi="ar-SA"/>
    </w:rPr>
  </w:style>
  <w:style w:type="character" w:customStyle="1" w:styleId="190">
    <w:name w:val="尾注文本 Char1"/>
    <w:semiHidden/>
    <w:qFormat/>
    <w:uiPriority w:val="99"/>
    <w:rPr>
      <w:rFonts w:ascii="Calibri" w:hAnsi="Calibri" w:eastAsia="宋体" w:cs="Times New Roman"/>
    </w:rPr>
  </w:style>
  <w:style w:type="character" w:customStyle="1" w:styleId="191">
    <w:name w:val="尾注文本 字符"/>
    <w:link w:val="33"/>
    <w:qFormat/>
    <w:uiPriority w:val="0"/>
    <w:rPr>
      <w:szCs w:val="24"/>
    </w:rPr>
  </w:style>
  <w:style w:type="character" w:customStyle="1" w:styleId="192">
    <w:name w:val="Char Char1"/>
    <w:qFormat/>
    <w:uiPriority w:val="0"/>
    <w:rPr>
      <w:rFonts w:ascii="黑体" w:hAnsi="Arial" w:eastAsia="黑体" w:cs="Arial"/>
      <w:b/>
      <w:bCs/>
      <w:kern w:val="2"/>
      <w:sz w:val="32"/>
      <w:szCs w:val="32"/>
      <w:lang w:val="en-US" w:eastAsia="zh-CN" w:bidi="ar-SA"/>
    </w:rPr>
  </w:style>
  <w:style w:type="character" w:customStyle="1" w:styleId="193">
    <w:name w:val="标题5 Char"/>
    <w:link w:val="106"/>
    <w:qFormat/>
    <w:uiPriority w:val="0"/>
    <w:rPr>
      <w:rFonts w:ascii="Arial" w:hAnsi="Arial" w:eastAsia="黑体" w:cs="Times New Roman"/>
      <w:bCs/>
      <w:sz w:val="24"/>
      <w:szCs w:val="32"/>
    </w:rPr>
  </w:style>
  <w:style w:type="character" w:customStyle="1" w:styleId="194">
    <w:name w:val="标题 2 Char1"/>
    <w:qFormat/>
    <w:locked/>
    <w:uiPriority w:val="0"/>
    <w:rPr>
      <w:rFonts w:ascii="Arial" w:hAnsi="Arial" w:eastAsia="黑体"/>
      <w:b/>
      <w:bCs/>
      <w:sz w:val="32"/>
      <w:szCs w:val="32"/>
    </w:rPr>
  </w:style>
  <w:style w:type="character" w:customStyle="1" w:styleId="195">
    <w:name w:val="Char Char18_0"/>
    <w:qFormat/>
    <w:uiPriority w:val="0"/>
    <w:rPr>
      <w:b/>
      <w:bCs/>
      <w:kern w:val="44"/>
      <w:sz w:val="44"/>
      <w:szCs w:val="44"/>
    </w:rPr>
  </w:style>
  <w:style w:type="character" w:customStyle="1" w:styleId="196">
    <w:name w:val="正文文本缩进 2 字符"/>
    <w:link w:val="32"/>
    <w:qFormat/>
    <w:uiPriority w:val="0"/>
    <w:rPr>
      <w:rFonts w:ascii="Times New Roman" w:hAnsi="Times New Roman" w:eastAsia="宋体" w:cs="Times New Roman"/>
      <w:color w:val="000000"/>
      <w:kern w:val="0"/>
      <w:sz w:val="24"/>
      <w:szCs w:val="20"/>
    </w:rPr>
  </w:style>
  <w:style w:type="character" w:customStyle="1" w:styleId="197">
    <w:name w:val="Char Char16"/>
    <w:qFormat/>
    <w:uiPriority w:val="0"/>
    <w:rPr>
      <w:b/>
      <w:bCs/>
      <w:kern w:val="2"/>
      <w:sz w:val="32"/>
      <w:szCs w:val="32"/>
    </w:rPr>
  </w:style>
  <w:style w:type="character" w:customStyle="1" w:styleId="198">
    <w:name w:val="超链接_0"/>
    <w:unhideWhenUsed/>
    <w:qFormat/>
    <w:uiPriority w:val="0"/>
    <w:rPr>
      <w:color w:val="0000FF"/>
      <w:u w:val="single"/>
    </w:rPr>
  </w:style>
  <w:style w:type="character" w:customStyle="1" w:styleId="199">
    <w:name w:val="Char Char18"/>
    <w:qFormat/>
    <w:uiPriority w:val="0"/>
    <w:rPr>
      <w:b/>
      <w:bCs/>
      <w:kern w:val="44"/>
      <w:sz w:val="44"/>
      <w:szCs w:val="44"/>
    </w:rPr>
  </w:style>
  <w:style w:type="character" w:customStyle="1" w:styleId="200">
    <w:name w:val="Char Char111"/>
    <w:qFormat/>
    <w:uiPriority w:val="0"/>
    <w:rPr>
      <w:rFonts w:ascii="黑体" w:hAnsi="Arial" w:eastAsia="黑体" w:cs="Arial"/>
      <w:b/>
      <w:bCs/>
      <w:sz w:val="32"/>
      <w:szCs w:val="32"/>
    </w:rPr>
  </w:style>
  <w:style w:type="character" w:customStyle="1" w:styleId="201">
    <w:name w:val="标题 Char1"/>
    <w:qFormat/>
    <w:locked/>
    <w:uiPriority w:val="0"/>
    <w:rPr>
      <w:rFonts w:ascii="Arial" w:hAnsi="Arial"/>
      <w:b/>
      <w:sz w:val="44"/>
    </w:rPr>
  </w:style>
  <w:style w:type="character" w:customStyle="1" w:styleId="202">
    <w:name w:val="font5 Char"/>
    <w:link w:val="203"/>
    <w:qFormat/>
    <w:uiPriority w:val="0"/>
    <w:rPr>
      <w:rFonts w:ascii="宋体" w:hAnsi="宋体" w:eastAsia="宋体" w:cs="Times New Roman"/>
      <w:kern w:val="0"/>
      <w:sz w:val="24"/>
      <w:szCs w:val="24"/>
    </w:rPr>
  </w:style>
  <w:style w:type="paragraph" w:customStyle="1" w:styleId="203">
    <w:name w:val="font5"/>
    <w:basedOn w:val="1"/>
    <w:link w:val="202"/>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204">
    <w:name w:val="标题 3 Char Char"/>
    <w:qFormat/>
    <w:uiPriority w:val="0"/>
    <w:rPr>
      <w:rFonts w:ascii="Cambria" w:hAnsi="Cambria" w:eastAsia="宋体"/>
      <w:b/>
      <w:bCs/>
      <w:sz w:val="26"/>
      <w:szCs w:val="26"/>
      <w:lang w:val="en-US" w:eastAsia="en-US"/>
    </w:rPr>
  </w:style>
  <w:style w:type="character" w:customStyle="1" w:styleId="205">
    <w:name w:val="样式 标题 3h3section:3Level 3 HeadH3level_3PIM 33rd level3H... Char"/>
    <w:link w:val="206"/>
    <w:qFormat/>
    <w:locked/>
    <w:uiPriority w:val="0"/>
    <w:rPr>
      <w:rFonts w:ascii="Arial" w:hAnsi="Arial" w:cs="Arial"/>
      <w:b/>
      <w:sz w:val="24"/>
      <w:szCs w:val="28"/>
    </w:rPr>
  </w:style>
  <w:style w:type="paragraph" w:customStyle="1" w:styleId="206">
    <w:name w:val="样式 标题 3h3section:3Level 3 HeadH3level_3PIM 33rd level3H..."/>
    <w:basedOn w:val="6"/>
    <w:link w:val="205"/>
    <w:qFormat/>
    <w:uiPriority w:val="0"/>
    <w:pPr>
      <w:keepLines w:val="0"/>
      <w:widowControl/>
      <w:tabs>
        <w:tab w:val="left" w:pos="360"/>
        <w:tab w:val="left" w:pos="1680"/>
      </w:tabs>
      <w:adjustRightInd w:val="0"/>
      <w:spacing w:before="240" w:after="60" w:line="416" w:lineRule="atLeast"/>
      <w:jc w:val="left"/>
    </w:pPr>
    <w:rPr>
      <w:rFonts w:ascii="Arial" w:hAnsi="Arial" w:cs="Arial" w:eastAsiaTheme="minorEastAsia"/>
      <w:sz w:val="24"/>
      <w:szCs w:val="28"/>
    </w:rPr>
  </w:style>
  <w:style w:type="character" w:customStyle="1" w:styleId="207">
    <w:name w:val="Char Char15"/>
    <w:qFormat/>
    <w:uiPriority w:val="0"/>
    <w:rPr>
      <w:rFonts w:ascii="Cambria" w:hAnsi="Cambria" w:eastAsia="宋体" w:cs="Times New Roman"/>
      <w:b/>
      <w:bCs/>
      <w:kern w:val="2"/>
      <w:sz w:val="28"/>
      <w:szCs w:val="28"/>
    </w:rPr>
  </w:style>
  <w:style w:type="character" w:customStyle="1" w:styleId="208">
    <w:name w:val="明显强调1"/>
    <w:qFormat/>
    <w:uiPriority w:val="0"/>
    <w:rPr>
      <w:b/>
      <w:i/>
      <w:sz w:val="24"/>
      <w:szCs w:val="24"/>
      <w:u w:val="single"/>
    </w:rPr>
  </w:style>
  <w:style w:type="character" w:customStyle="1" w:styleId="209">
    <w:name w:val="正文文本 3 Char_0"/>
    <w:link w:val="210"/>
    <w:qFormat/>
    <w:uiPriority w:val="0"/>
    <w:rPr>
      <w:rFonts w:ascii="Times New Roman" w:hAnsi="Times New Roman"/>
      <w:sz w:val="16"/>
      <w:szCs w:val="16"/>
    </w:rPr>
  </w:style>
  <w:style w:type="paragraph" w:customStyle="1" w:styleId="210">
    <w:name w:val="正文文本 3_0_0"/>
    <w:basedOn w:val="160"/>
    <w:link w:val="209"/>
    <w:qFormat/>
    <w:uiPriority w:val="0"/>
    <w:rPr>
      <w:rFonts w:ascii="Times New Roman" w:hAnsi="Times New Roman" w:eastAsiaTheme="minorEastAsia" w:cstheme="minorBidi"/>
      <w:sz w:val="16"/>
      <w:szCs w:val="16"/>
    </w:rPr>
  </w:style>
  <w:style w:type="character" w:customStyle="1" w:styleId="211">
    <w:name w:val="ca-31"/>
    <w:qFormat/>
    <w:uiPriority w:val="0"/>
    <w:rPr>
      <w:rFonts w:hint="eastAsia" w:ascii="宋体" w:hAnsi="宋体" w:eastAsia="宋体"/>
      <w:sz w:val="21"/>
      <w:szCs w:val="21"/>
    </w:rPr>
  </w:style>
  <w:style w:type="character" w:customStyle="1" w:styleId="212">
    <w:name w:val="正文缩进 字符"/>
    <w:link w:val="15"/>
    <w:qFormat/>
    <w:uiPriority w:val="0"/>
  </w:style>
  <w:style w:type="character" w:customStyle="1" w:styleId="213">
    <w:name w:val="明显引用 Char1"/>
    <w:qFormat/>
    <w:uiPriority w:val="30"/>
    <w:rPr>
      <w:rFonts w:hint="default" w:ascii="Times New Roman" w:hAnsi="Times New Roman" w:cs="Times New Roman"/>
      <w:b/>
      <w:bCs/>
      <w:i/>
      <w:iCs/>
      <w:color w:val="4F81BD"/>
      <w:kern w:val="2"/>
      <w:sz w:val="21"/>
      <w:szCs w:val="24"/>
    </w:rPr>
  </w:style>
  <w:style w:type="character" w:customStyle="1" w:styleId="214">
    <w:name w:val="Variable"/>
    <w:qFormat/>
    <w:uiPriority w:val="0"/>
    <w:rPr>
      <w:i/>
    </w:rPr>
  </w:style>
  <w:style w:type="character" w:customStyle="1" w:styleId="215">
    <w:name w:val="Char Char71"/>
    <w:qFormat/>
    <w:uiPriority w:val="0"/>
    <w:rPr>
      <w:rFonts w:ascii="Arial" w:hAnsi="Arial" w:eastAsia="黑体"/>
      <w:b/>
      <w:bCs/>
      <w:kern w:val="2"/>
      <w:sz w:val="32"/>
      <w:szCs w:val="32"/>
      <w:lang w:val="en-US" w:eastAsia="zh-CN" w:bidi="ar-SA"/>
    </w:rPr>
  </w:style>
  <w:style w:type="character" w:customStyle="1" w:styleId="216">
    <w:name w:val="WPS Plain Char"/>
    <w:link w:val="217"/>
    <w:qFormat/>
    <w:locked/>
    <w:uiPriority w:val="0"/>
  </w:style>
  <w:style w:type="paragraph" w:customStyle="1" w:styleId="217">
    <w:name w:val="WPS Plain"/>
    <w:link w:val="216"/>
    <w:qFormat/>
    <w:uiPriority w:val="0"/>
    <w:rPr>
      <w:rFonts w:asciiTheme="minorHAnsi" w:hAnsiTheme="minorHAnsi" w:eastAsiaTheme="minorEastAsia" w:cstheme="minorBidi"/>
      <w:kern w:val="2"/>
      <w:sz w:val="21"/>
      <w:szCs w:val="22"/>
      <w:lang w:val="en-US" w:eastAsia="zh-CN" w:bidi="ar-SA"/>
    </w:rPr>
  </w:style>
  <w:style w:type="character" w:customStyle="1" w:styleId="218">
    <w:name w:val="日期 字符"/>
    <w:link w:val="31"/>
    <w:qFormat/>
    <w:uiPriority w:val="0"/>
    <w:rPr>
      <w:rFonts w:ascii="Calibri" w:hAnsi="Calibri" w:eastAsia="宋体" w:cs="Times New Roman"/>
      <w:sz w:val="24"/>
      <w:szCs w:val="20"/>
    </w:rPr>
  </w:style>
  <w:style w:type="character" w:customStyle="1" w:styleId="219">
    <w:name w:val="标题 2 Char_2"/>
    <w:link w:val="220"/>
    <w:qFormat/>
    <w:uiPriority w:val="0"/>
    <w:rPr>
      <w:rFonts w:ascii="Arial" w:hAnsi="Arial" w:eastAsia="黑体"/>
      <w:b/>
      <w:sz w:val="32"/>
    </w:rPr>
  </w:style>
  <w:style w:type="paragraph" w:customStyle="1" w:styleId="220">
    <w:name w:val="标题 2_2"/>
    <w:basedOn w:val="109"/>
    <w:next w:val="109"/>
    <w:link w:val="219"/>
    <w:qFormat/>
    <w:uiPriority w:val="0"/>
    <w:pPr>
      <w:keepNext/>
      <w:keepLines/>
      <w:spacing w:before="260" w:after="260" w:line="413" w:lineRule="auto"/>
      <w:outlineLvl w:val="1"/>
    </w:pPr>
    <w:rPr>
      <w:rFonts w:ascii="Arial" w:hAnsi="Arial" w:eastAsia="黑体" w:cstheme="minorBidi"/>
      <w:b/>
      <w:sz w:val="32"/>
      <w:szCs w:val="22"/>
    </w:rPr>
  </w:style>
  <w:style w:type="character" w:customStyle="1" w:styleId="221">
    <w:name w:val="明显参考1"/>
    <w:qFormat/>
    <w:uiPriority w:val="0"/>
    <w:rPr>
      <w:b/>
      <w:sz w:val="24"/>
      <w:u w:val="single"/>
    </w:rPr>
  </w:style>
  <w:style w:type="character" w:customStyle="1" w:styleId="222">
    <w:name w:val="批注文字 字符"/>
    <w:link w:val="19"/>
    <w:qFormat/>
    <w:uiPriority w:val="0"/>
    <w:rPr>
      <w:rFonts w:ascii="Times New Roman" w:hAnsi="Times New Roman" w:eastAsia="宋体" w:cs="Times New Roman"/>
      <w:szCs w:val="24"/>
    </w:rPr>
  </w:style>
  <w:style w:type="character" w:customStyle="1" w:styleId="223">
    <w:name w:val="副标题 字符"/>
    <w:link w:val="39"/>
    <w:qFormat/>
    <w:uiPriority w:val="0"/>
    <w:rPr>
      <w:rFonts w:ascii="Arial" w:hAnsi="Arial" w:eastAsia="黑体" w:cs="Times New Roman"/>
      <w:b/>
      <w:bCs/>
      <w:sz w:val="32"/>
      <w:szCs w:val="32"/>
    </w:rPr>
  </w:style>
  <w:style w:type="character" w:customStyle="1" w:styleId="224">
    <w:name w:val="批注文字 Char1"/>
    <w:semiHidden/>
    <w:qFormat/>
    <w:uiPriority w:val="99"/>
    <w:rPr>
      <w:rFonts w:hint="default" w:ascii="Calibri" w:hAnsi="Calibri"/>
      <w:kern w:val="2"/>
      <w:sz w:val="21"/>
      <w:szCs w:val="22"/>
    </w:rPr>
  </w:style>
  <w:style w:type="character" w:customStyle="1" w:styleId="225">
    <w:name w:val="纯文本 Char2"/>
    <w:semiHidden/>
    <w:qFormat/>
    <w:uiPriority w:val="99"/>
    <w:rPr>
      <w:rFonts w:hint="eastAsia" w:ascii="宋体" w:hAnsi="Courier New" w:eastAsia="宋体" w:cs="Courier New"/>
      <w:kern w:val="2"/>
      <w:sz w:val="21"/>
      <w:szCs w:val="21"/>
    </w:rPr>
  </w:style>
  <w:style w:type="character" w:customStyle="1" w:styleId="226">
    <w:name w:val="Char Char171"/>
    <w:qFormat/>
    <w:uiPriority w:val="0"/>
    <w:rPr>
      <w:rFonts w:eastAsia="宋体"/>
      <w:kern w:val="2"/>
      <w:lang w:bidi="ar-SA"/>
    </w:rPr>
  </w:style>
  <w:style w:type="character" w:customStyle="1" w:styleId="227">
    <w:name w:val="标题 2 Char_0"/>
    <w:link w:val="228"/>
    <w:qFormat/>
    <w:uiPriority w:val="0"/>
    <w:rPr>
      <w:rFonts w:ascii="Arial" w:hAnsi="Arial"/>
      <w:b/>
      <w:bCs/>
      <w:sz w:val="28"/>
      <w:szCs w:val="32"/>
    </w:rPr>
  </w:style>
  <w:style w:type="paragraph" w:customStyle="1" w:styleId="228">
    <w:name w:val="标题 2_0"/>
    <w:basedOn w:val="229"/>
    <w:next w:val="229"/>
    <w:link w:val="227"/>
    <w:qFormat/>
    <w:uiPriority w:val="0"/>
    <w:pPr>
      <w:keepNext/>
      <w:keepLines/>
      <w:spacing w:before="260" w:after="260" w:line="415" w:lineRule="auto"/>
      <w:outlineLvl w:val="1"/>
    </w:pPr>
    <w:rPr>
      <w:rFonts w:ascii="Arial" w:hAnsi="Arial" w:eastAsiaTheme="minorEastAsia" w:cstheme="minorBidi"/>
      <w:b/>
      <w:bCs/>
      <w:sz w:val="28"/>
      <w:szCs w:val="32"/>
    </w:rPr>
  </w:style>
  <w:style w:type="paragraph" w:customStyle="1" w:styleId="229">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0">
    <w:name w:val="Char Char17_0"/>
    <w:qFormat/>
    <w:uiPriority w:val="0"/>
    <w:rPr>
      <w:rFonts w:hint="default" w:ascii="Cambria" w:hAnsi="Cambria" w:eastAsia="宋体" w:cs="Times New Roman"/>
      <w:b/>
      <w:bCs/>
      <w:kern w:val="2"/>
      <w:sz w:val="32"/>
      <w:szCs w:val="32"/>
    </w:rPr>
  </w:style>
  <w:style w:type="character" w:customStyle="1" w:styleId="231">
    <w:name w:val="页脚 字符"/>
    <w:link w:val="35"/>
    <w:qFormat/>
    <w:uiPriority w:val="99"/>
    <w:rPr>
      <w:sz w:val="18"/>
      <w:szCs w:val="18"/>
    </w:rPr>
  </w:style>
  <w:style w:type="character" w:customStyle="1" w:styleId="232">
    <w:name w:val="样式 粉红"/>
    <w:qFormat/>
    <w:uiPriority w:val="0"/>
    <w:rPr>
      <w:color w:val="auto"/>
      <w:u w:val="none"/>
    </w:rPr>
  </w:style>
  <w:style w:type="character" w:customStyle="1" w:styleId="233">
    <w:name w:val="批注主题 字符"/>
    <w:link w:val="50"/>
    <w:qFormat/>
    <w:uiPriority w:val="0"/>
    <w:rPr>
      <w:rFonts w:ascii="Times New Roman" w:hAnsi="Times New Roman" w:eastAsia="宋体" w:cs="Times New Roman"/>
      <w:b/>
      <w:bCs/>
      <w:szCs w:val="24"/>
    </w:rPr>
  </w:style>
  <w:style w:type="character" w:customStyle="1" w:styleId="234">
    <w:name w:val="z-窗体底端 字符"/>
    <w:link w:val="235"/>
    <w:qFormat/>
    <w:uiPriority w:val="0"/>
    <w:rPr>
      <w:rFonts w:ascii="Arial" w:hAnsi="Arial" w:cs="Arial"/>
      <w:vanish/>
      <w:sz w:val="16"/>
      <w:szCs w:val="16"/>
    </w:rPr>
  </w:style>
  <w:style w:type="paragraph" w:customStyle="1" w:styleId="235">
    <w:name w:val="z-窗体底端1"/>
    <w:basedOn w:val="1"/>
    <w:next w:val="1"/>
    <w:link w:val="234"/>
    <w:qFormat/>
    <w:uiPriority w:val="0"/>
    <w:pPr>
      <w:pBdr>
        <w:top w:val="single" w:color="auto" w:sz="6" w:space="1"/>
      </w:pBdr>
      <w:jc w:val="center"/>
    </w:pPr>
    <w:rPr>
      <w:rFonts w:ascii="Arial" w:hAnsi="Arial" w:cs="Arial"/>
      <w:vanish/>
      <w:sz w:val="16"/>
      <w:szCs w:val="16"/>
    </w:rPr>
  </w:style>
  <w:style w:type="character" w:customStyle="1" w:styleId="236">
    <w:name w:val="正文首行缩进 字符"/>
    <w:link w:val="2"/>
    <w:qFormat/>
    <w:uiPriority w:val="0"/>
    <w:rPr>
      <w:rFonts w:ascii="Times New Roman" w:hAnsi="Times New Roman" w:eastAsia="宋体" w:cs="Times New Roman"/>
      <w:kern w:val="0"/>
      <w:sz w:val="20"/>
      <w:szCs w:val="20"/>
    </w:rPr>
  </w:style>
  <w:style w:type="character" w:customStyle="1" w:styleId="237">
    <w:name w:val="Char Char4"/>
    <w:link w:val="238"/>
    <w:qFormat/>
    <w:locked/>
    <w:uiPriority w:val="0"/>
    <w:rPr>
      <w:rFonts w:ascii="Calibri" w:hAnsi="Calibri" w:eastAsia="宋体" w:cs="Times New Roman"/>
      <w:sz w:val="24"/>
    </w:rPr>
  </w:style>
  <w:style w:type="paragraph" w:customStyle="1" w:styleId="238">
    <w:name w:val="Char"/>
    <w:basedOn w:val="1"/>
    <w:link w:val="237"/>
    <w:qFormat/>
    <w:uiPriority w:val="0"/>
    <w:pPr>
      <w:tabs>
        <w:tab w:val="left" w:pos="360"/>
      </w:tabs>
    </w:pPr>
    <w:rPr>
      <w:rFonts w:ascii="Calibri" w:hAnsi="Calibri" w:eastAsia="宋体" w:cs="Times New Roman"/>
      <w:sz w:val="24"/>
    </w:rPr>
  </w:style>
  <w:style w:type="character" w:customStyle="1" w:styleId="239">
    <w:name w:val="Char Char10"/>
    <w:qFormat/>
    <w:uiPriority w:val="0"/>
    <w:rPr>
      <w:rFonts w:hint="default" w:ascii="Cambria" w:hAnsi="Cambria" w:eastAsia="宋体"/>
      <w:b/>
      <w:bCs/>
      <w:i/>
      <w:iCs/>
      <w:sz w:val="28"/>
      <w:szCs w:val="28"/>
    </w:rPr>
  </w:style>
  <w:style w:type="character" w:customStyle="1" w:styleId="240">
    <w:name w:val="文档结构图 字符"/>
    <w:link w:val="18"/>
    <w:qFormat/>
    <w:uiPriority w:val="0"/>
    <w:rPr>
      <w:rFonts w:ascii="Calibri" w:hAnsi="Calibri" w:eastAsia="宋体" w:cs="Times New Roman"/>
      <w:shd w:val="clear" w:color="auto" w:fill="000080"/>
    </w:rPr>
  </w:style>
  <w:style w:type="character" w:customStyle="1" w:styleId="241">
    <w:name w:val="批注文字 字符1"/>
    <w:basedOn w:val="56"/>
    <w:semiHidden/>
    <w:qFormat/>
    <w:uiPriority w:val="99"/>
  </w:style>
  <w:style w:type="character" w:customStyle="1" w:styleId="242">
    <w:name w:val="正文文本缩进 3 字符1"/>
    <w:basedOn w:val="56"/>
    <w:semiHidden/>
    <w:qFormat/>
    <w:uiPriority w:val="99"/>
    <w:rPr>
      <w:sz w:val="16"/>
      <w:szCs w:val="16"/>
    </w:rPr>
  </w:style>
  <w:style w:type="character" w:customStyle="1" w:styleId="243">
    <w:name w:val="纯文本 字符1"/>
    <w:basedOn w:val="56"/>
    <w:semiHidden/>
    <w:qFormat/>
    <w:uiPriority w:val="99"/>
    <w:rPr>
      <w:rFonts w:hAnsi="Courier New" w:cs="Courier New" w:asciiTheme="minorEastAsia"/>
    </w:rPr>
  </w:style>
  <w:style w:type="character" w:customStyle="1" w:styleId="244">
    <w:name w:val="日期 字符1"/>
    <w:basedOn w:val="56"/>
    <w:semiHidden/>
    <w:qFormat/>
    <w:uiPriority w:val="99"/>
  </w:style>
  <w:style w:type="character" w:customStyle="1" w:styleId="245">
    <w:name w:val="尾注文本 字符1"/>
    <w:basedOn w:val="56"/>
    <w:semiHidden/>
    <w:qFormat/>
    <w:uiPriority w:val="99"/>
  </w:style>
  <w:style w:type="character" w:customStyle="1" w:styleId="246">
    <w:name w:val="文档结构图 字符1"/>
    <w:basedOn w:val="56"/>
    <w:semiHidden/>
    <w:qFormat/>
    <w:uiPriority w:val="99"/>
    <w:rPr>
      <w:rFonts w:ascii="Microsoft YaHei UI" w:eastAsia="Microsoft YaHei UI"/>
      <w:sz w:val="18"/>
      <w:szCs w:val="18"/>
    </w:rPr>
  </w:style>
  <w:style w:type="character" w:customStyle="1" w:styleId="247">
    <w:name w:val="正文文本缩进 2 字符1"/>
    <w:basedOn w:val="56"/>
    <w:semiHidden/>
    <w:qFormat/>
    <w:uiPriority w:val="99"/>
  </w:style>
  <w:style w:type="character" w:customStyle="1" w:styleId="248">
    <w:name w:val="批注框文本 字符1"/>
    <w:basedOn w:val="56"/>
    <w:semiHidden/>
    <w:qFormat/>
    <w:uiPriority w:val="99"/>
    <w:rPr>
      <w:sz w:val="18"/>
      <w:szCs w:val="18"/>
    </w:rPr>
  </w:style>
  <w:style w:type="character" w:customStyle="1" w:styleId="249">
    <w:name w:val="副标题 字符1"/>
    <w:basedOn w:val="56"/>
    <w:qFormat/>
    <w:uiPriority w:val="11"/>
    <w:rPr>
      <w:b/>
      <w:bCs/>
      <w:kern w:val="28"/>
      <w:sz w:val="32"/>
      <w:szCs w:val="32"/>
    </w:rPr>
  </w:style>
  <w:style w:type="character" w:customStyle="1" w:styleId="250">
    <w:name w:val="页脚 字符1"/>
    <w:basedOn w:val="56"/>
    <w:semiHidden/>
    <w:qFormat/>
    <w:uiPriority w:val="99"/>
    <w:rPr>
      <w:sz w:val="18"/>
      <w:szCs w:val="18"/>
    </w:rPr>
  </w:style>
  <w:style w:type="character" w:customStyle="1" w:styleId="251">
    <w:name w:val="页眉 字符1"/>
    <w:basedOn w:val="56"/>
    <w:semiHidden/>
    <w:qFormat/>
    <w:uiPriority w:val="99"/>
    <w:rPr>
      <w:sz w:val="18"/>
      <w:szCs w:val="18"/>
    </w:rPr>
  </w:style>
  <w:style w:type="character" w:customStyle="1" w:styleId="252">
    <w:name w:val="正文文本 2 字符1"/>
    <w:basedOn w:val="56"/>
    <w:semiHidden/>
    <w:qFormat/>
    <w:uiPriority w:val="99"/>
  </w:style>
  <w:style w:type="character" w:customStyle="1" w:styleId="253">
    <w:name w:val="脚注文本 字符1"/>
    <w:basedOn w:val="56"/>
    <w:semiHidden/>
    <w:qFormat/>
    <w:uiPriority w:val="99"/>
    <w:rPr>
      <w:sz w:val="18"/>
      <w:szCs w:val="18"/>
    </w:rPr>
  </w:style>
  <w:style w:type="character" w:customStyle="1" w:styleId="254">
    <w:name w:val="批注主题 字符1"/>
    <w:basedOn w:val="241"/>
    <w:semiHidden/>
    <w:qFormat/>
    <w:uiPriority w:val="99"/>
    <w:rPr>
      <w:b/>
      <w:bCs/>
    </w:rPr>
  </w:style>
  <w:style w:type="character" w:customStyle="1" w:styleId="255">
    <w:name w:val="标题 字符1"/>
    <w:basedOn w:val="56"/>
    <w:qFormat/>
    <w:uiPriority w:val="10"/>
    <w:rPr>
      <w:rFonts w:asciiTheme="majorHAnsi" w:hAnsiTheme="majorHAnsi" w:eastAsiaTheme="majorEastAsia" w:cstheme="majorBidi"/>
      <w:b/>
      <w:bCs/>
      <w:sz w:val="32"/>
      <w:szCs w:val="32"/>
    </w:rPr>
  </w:style>
  <w:style w:type="character" w:customStyle="1" w:styleId="256">
    <w:name w:val="正文文本首行缩进 字符1"/>
    <w:basedOn w:val="67"/>
    <w:semiHidden/>
    <w:qFormat/>
    <w:uiPriority w:val="99"/>
    <w:rPr>
      <w:rFonts w:ascii="宋体" w:hAnsi="宋体" w:eastAsia="宋体" w:cs="宋体"/>
      <w:kern w:val="0"/>
      <w:sz w:val="24"/>
      <w:szCs w:val="24"/>
    </w:rPr>
  </w:style>
  <w:style w:type="paragraph" w:customStyle="1" w:styleId="257">
    <w:name w:val="H5"/>
    <w:basedOn w:val="1"/>
    <w:next w:val="1"/>
    <w:qFormat/>
    <w:uiPriority w:val="0"/>
    <w:pPr>
      <w:keepNext/>
      <w:autoSpaceDE w:val="0"/>
      <w:autoSpaceDN w:val="0"/>
      <w:adjustRightInd w:val="0"/>
      <w:spacing w:before="100" w:after="100"/>
      <w:jc w:val="left"/>
      <w:outlineLvl w:val="5"/>
    </w:pPr>
    <w:rPr>
      <w:rFonts w:ascii="Calibri" w:hAnsi="Calibri" w:eastAsia="宋体" w:cs="Times New Roman"/>
      <w:b/>
      <w:kern w:val="0"/>
      <w:sz w:val="20"/>
      <w:szCs w:val="20"/>
    </w:rPr>
  </w:style>
  <w:style w:type="paragraph" w:customStyle="1" w:styleId="258">
    <w:name w:val="标题 3_0_0"/>
    <w:basedOn w:val="160"/>
    <w:next w:val="160"/>
    <w:qFormat/>
    <w:uiPriority w:val="0"/>
    <w:pPr>
      <w:keepNext/>
      <w:keepLines/>
      <w:spacing w:before="260" w:after="260" w:line="415" w:lineRule="auto"/>
    </w:pPr>
    <w:rPr>
      <w:b/>
      <w:bCs/>
      <w:szCs w:val="32"/>
    </w:rPr>
  </w:style>
  <w:style w:type="paragraph" w:customStyle="1" w:styleId="259">
    <w:name w:val="标题2"/>
    <w:basedOn w:val="5"/>
    <w:next w:val="1"/>
    <w:qFormat/>
    <w:uiPriority w:val="0"/>
    <w:pPr>
      <w:snapToGrid w:val="0"/>
      <w:spacing w:before="120" w:after="120" w:line="240" w:lineRule="auto"/>
      <w:jc w:val="left"/>
    </w:pPr>
    <w:rPr>
      <w:b w:val="0"/>
      <w:bCs/>
      <w:sz w:val="21"/>
      <w:szCs w:val="21"/>
    </w:rPr>
  </w:style>
  <w:style w:type="paragraph" w:customStyle="1" w:styleId="260">
    <w:name w:val="表1"/>
    <w:basedOn w:val="1"/>
    <w:qFormat/>
    <w:uiPriority w:val="0"/>
    <w:pPr>
      <w:overflowPunct w:val="0"/>
      <w:autoSpaceDE w:val="0"/>
      <w:autoSpaceDN w:val="0"/>
      <w:adjustRightInd w:val="0"/>
      <w:spacing w:before="200" w:line="320" w:lineRule="atLeast"/>
      <w:textAlignment w:val="baseline"/>
    </w:pPr>
    <w:rPr>
      <w:rFonts w:ascii="Times New Roman" w:hAnsi="Times New Roman" w:eastAsia="宋体" w:cs="Times New Roman"/>
      <w:kern w:val="0"/>
      <w:sz w:val="24"/>
      <w:szCs w:val="20"/>
    </w:rPr>
  </w:style>
  <w:style w:type="paragraph" w:customStyle="1" w:styleId="261">
    <w:name w:val="样式8"/>
    <w:basedOn w:val="1"/>
    <w:qFormat/>
    <w:uiPriority w:val="0"/>
    <w:pPr>
      <w:keepNext/>
      <w:keepLines/>
      <w:widowControl/>
      <w:spacing w:before="260" w:after="260"/>
      <w:jc w:val="center"/>
      <w:outlineLvl w:val="1"/>
    </w:pPr>
    <w:rPr>
      <w:rFonts w:ascii="Arial" w:hAnsi="Arial" w:eastAsia="黑体" w:cs="Times New Roman"/>
      <w:b/>
      <w:bCs/>
      <w:kern w:val="0"/>
      <w:sz w:val="72"/>
      <w:szCs w:val="32"/>
    </w:rPr>
  </w:style>
  <w:style w:type="paragraph" w:customStyle="1" w:styleId="262">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263">
    <w:name w:val="格式3"/>
    <w:basedOn w:val="1"/>
    <w:qFormat/>
    <w:uiPriority w:val="0"/>
    <w:pPr>
      <w:tabs>
        <w:tab w:val="left" w:pos="1222"/>
        <w:tab w:val="left" w:pos="1626"/>
      </w:tabs>
      <w:adjustRightInd w:val="0"/>
      <w:snapToGrid w:val="0"/>
      <w:spacing w:line="360" w:lineRule="auto"/>
      <w:ind w:left="1701" w:hanging="397"/>
    </w:pPr>
    <w:rPr>
      <w:rFonts w:ascii="宋体" w:hAnsi="宋体" w:eastAsia="宋体" w:cs="Times New Roman"/>
      <w:szCs w:val="20"/>
    </w:rPr>
  </w:style>
  <w:style w:type="character" w:customStyle="1" w:styleId="264">
    <w:name w:val="z-窗体底端 字符1"/>
    <w:basedOn w:val="56"/>
    <w:semiHidden/>
    <w:qFormat/>
    <w:uiPriority w:val="99"/>
    <w:rPr>
      <w:rFonts w:ascii="Arial" w:hAnsi="Arial" w:cs="Arial"/>
      <w:vanish/>
      <w:sz w:val="16"/>
      <w:szCs w:val="16"/>
    </w:rPr>
  </w:style>
  <w:style w:type="paragraph" w:customStyle="1" w:styleId="265">
    <w:name w:val="格式10"/>
    <w:basedOn w:val="1"/>
    <w:qFormat/>
    <w:uiPriority w:val="0"/>
    <w:pPr>
      <w:spacing w:line="360" w:lineRule="exact"/>
      <w:ind w:left="480"/>
    </w:pPr>
    <w:rPr>
      <w:rFonts w:ascii="Times New Roman" w:hAnsi="Times New Roman" w:eastAsia="宋体" w:cs="Times New Roman"/>
      <w:sz w:val="24"/>
      <w:szCs w:val="20"/>
    </w:rPr>
  </w:style>
  <w:style w:type="paragraph" w:customStyle="1" w:styleId="266">
    <w:name w:val="Char11"/>
    <w:basedOn w:val="1"/>
    <w:qFormat/>
    <w:uiPriority w:val="0"/>
    <w:pPr>
      <w:tabs>
        <w:tab w:val="left" w:pos="360"/>
      </w:tabs>
    </w:pPr>
    <w:rPr>
      <w:rFonts w:ascii="Calibri" w:hAnsi="Calibri" w:eastAsia="宋体" w:cs="Times New Roman"/>
      <w:sz w:val="24"/>
    </w:rPr>
  </w:style>
  <w:style w:type="character" w:customStyle="1" w:styleId="267">
    <w:name w:val="引用 字符1"/>
    <w:basedOn w:val="56"/>
    <w:qFormat/>
    <w:uiPriority w:val="29"/>
    <w:rPr>
      <w:i/>
      <w:iCs/>
      <w:color w:val="404040" w:themeColor="text1" w:themeTint="BF"/>
      <w14:textFill>
        <w14:solidFill>
          <w14:schemeClr w14:val="tx1">
            <w14:lumMod w14:val="75000"/>
            <w14:lumOff w14:val="25000"/>
          </w14:schemeClr>
        </w14:solidFill>
      </w14:textFill>
    </w:rPr>
  </w:style>
  <w:style w:type="paragraph" w:customStyle="1" w:styleId="26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69">
    <w:name w:val="H4"/>
    <w:basedOn w:val="1"/>
    <w:next w:val="1"/>
    <w:qFormat/>
    <w:uiPriority w:val="0"/>
    <w:pPr>
      <w:keepNext/>
      <w:autoSpaceDE w:val="0"/>
      <w:autoSpaceDN w:val="0"/>
      <w:adjustRightInd w:val="0"/>
      <w:spacing w:before="100" w:after="100"/>
      <w:jc w:val="left"/>
      <w:outlineLvl w:val="4"/>
    </w:pPr>
    <w:rPr>
      <w:rFonts w:ascii="Calibri" w:hAnsi="Calibri" w:eastAsia="宋体" w:cs="Times New Roman"/>
      <w:b/>
      <w:kern w:val="0"/>
      <w:sz w:val="24"/>
      <w:szCs w:val="20"/>
    </w:rPr>
  </w:style>
  <w:style w:type="paragraph" w:customStyle="1" w:styleId="270">
    <w:name w:val="默认段落字体 Para Char Char Char Char"/>
    <w:basedOn w:val="1"/>
    <w:qFormat/>
    <w:uiPriority w:val="0"/>
    <w:rPr>
      <w:rFonts w:ascii="Times New Roman" w:hAnsi="Times New Roman" w:eastAsia="宋体" w:cs="Times New Roman"/>
      <w:szCs w:val="24"/>
    </w:rPr>
  </w:style>
  <w:style w:type="paragraph" w:customStyle="1" w:styleId="271">
    <w:name w:val="标题 4_0"/>
    <w:basedOn w:val="130"/>
    <w:next w:val="130"/>
    <w:qFormat/>
    <w:uiPriority w:val="0"/>
    <w:pPr>
      <w:keepNext/>
      <w:keepLines/>
      <w:spacing w:before="280" w:after="290" w:line="374" w:lineRule="auto"/>
      <w:outlineLvl w:val="3"/>
    </w:pPr>
    <w:rPr>
      <w:rFonts w:ascii="Arial" w:hAnsi="Arial" w:eastAsia="黑体"/>
      <w:b/>
      <w:bCs/>
      <w:sz w:val="28"/>
      <w:szCs w:val="28"/>
    </w:rPr>
  </w:style>
  <w:style w:type="paragraph" w:customStyle="1" w:styleId="272">
    <w:name w:val="样式2"/>
    <w:basedOn w:val="6"/>
    <w:qFormat/>
    <w:uiPriority w:val="0"/>
  </w:style>
  <w:style w:type="paragraph" w:customStyle="1" w:styleId="273">
    <w:name w:val="样式 (西文) 仿宋_GB2312 居中 行距: 1.5 倍行距"/>
    <w:basedOn w:val="1"/>
    <w:qFormat/>
    <w:uiPriority w:val="0"/>
    <w:pPr>
      <w:spacing w:line="360" w:lineRule="auto"/>
      <w:jc w:val="center"/>
    </w:pPr>
    <w:rPr>
      <w:rFonts w:ascii="宋体" w:hAnsi="宋体" w:eastAsia="宋体" w:cs="宋体"/>
      <w:kern w:val="0"/>
      <w:szCs w:val="20"/>
    </w:rPr>
  </w:style>
  <w:style w:type="paragraph" w:customStyle="1" w:styleId="274">
    <w:name w:val="2"/>
    <w:basedOn w:val="1"/>
    <w:qFormat/>
    <w:uiPriority w:val="0"/>
    <w:pPr>
      <w:tabs>
        <w:tab w:val="left" w:pos="1955"/>
      </w:tabs>
      <w:spacing w:line="460" w:lineRule="exact"/>
      <w:ind w:left="1955" w:hanging="975"/>
    </w:pPr>
    <w:rPr>
      <w:rFonts w:ascii="Times New Roman" w:hAnsi="Times New Roman" w:eastAsia="宋体" w:cs="Times New Roman"/>
      <w:sz w:val="28"/>
      <w:szCs w:val="20"/>
    </w:rPr>
  </w:style>
  <w:style w:type="paragraph" w:customStyle="1" w:styleId="275">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276">
    <w:name w:val="表格文字"/>
    <w:basedOn w:val="1"/>
    <w:link w:val="350"/>
    <w:qFormat/>
    <w:uiPriority w:val="2"/>
    <w:pPr>
      <w:adjustRightInd w:val="0"/>
      <w:spacing w:line="420" w:lineRule="atLeast"/>
      <w:jc w:val="left"/>
    </w:pPr>
    <w:rPr>
      <w:rFonts w:ascii="Calibri" w:hAnsi="Calibri" w:eastAsia="宋体" w:cs="Times New Roman"/>
      <w:kern w:val="0"/>
      <w:szCs w:val="20"/>
    </w:rPr>
  </w:style>
  <w:style w:type="paragraph" w:customStyle="1" w:styleId="277">
    <w:name w:val="标题 4_0_0"/>
    <w:basedOn w:val="134"/>
    <w:next w:val="134"/>
    <w:qFormat/>
    <w:uiPriority w:val="0"/>
    <w:pPr>
      <w:keepNext/>
      <w:keepLines/>
      <w:spacing w:before="280" w:after="290" w:line="374" w:lineRule="auto"/>
      <w:outlineLvl w:val="3"/>
    </w:pPr>
    <w:rPr>
      <w:rFonts w:ascii="Arial" w:hAnsi="Arial" w:eastAsia="黑体"/>
      <w:b/>
      <w:bCs/>
      <w:sz w:val="28"/>
      <w:szCs w:val="28"/>
    </w:rPr>
  </w:style>
  <w:style w:type="paragraph" w:customStyle="1" w:styleId="278">
    <w:name w:val="red"/>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79">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280">
    <w:name w:val="pa-5"/>
    <w:basedOn w:val="1"/>
    <w:qFormat/>
    <w:uiPriority w:val="0"/>
    <w:pPr>
      <w:widowControl/>
      <w:spacing w:line="240" w:lineRule="atLeast"/>
      <w:jc w:val="center"/>
    </w:pPr>
    <w:rPr>
      <w:rFonts w:ascii="宋体" w:hAnsi="宋体" w:eastAsia="宋体" w:cs="宋体"/>
      <w:kern w:val="0"/>
      <w:sz w:val="24"/>
      <w:szCs w:val="24"/>
    </w:rPr>
  </w:style>
  <w:style w:type="paragraph" w:customStyle="1" w:styleId="281">
    <w:name w:val="TOC 标题1"/>
    <w:basedOn w:val="4"/>
    <w:next w:val="1"/>
    <w:qFormat/>
    <w:uiPriority w:val="0"/>
    <w:pPr>
      <w:widowControl/>
      <w:spacing w:before="480" w:after="0" w:line="276" w:lineRule="auto"/>
      <w:outlineLvl w:val="9"/>
    </w:pPr>
    <w:rPr>
      <w:rFonts w:ascii="Cambria" w:hAnsi="Cambria"/>
      <w:color w:val="365F91"/>
      <w:kern w:val="0"/>
      <w:sz w:val="28"/>
    </w:rPr>
  </w:style>
  <w:style w:type="paragraph" w:customStyle="1" w:styleId="282">
    <w:name w:val="正文文本 3_0"/>
    <w:basedOn w:val="229"/>
    <w:qFormat/>
    <w:uiPriority w:val="0"/>
    <w:rPr>
      <w:rFonts w:ascii="宋体"/>
      <w:sz w:val="24"/>
      <w:szCs w:val="20"/>
    </w:rPr>
  </w:style>
  <w:style w:type="paragraph" w:customStyle="1" w:styleId="283">
    <w:name w:val="Char1"/>
    <w:basedOn w:val="1"/>
    <w:qFormat/>
    <w:uiPriority w:val="0"/>
    <w:pPr>
      <w:ind w:firstLine="200" w:firstLineChars="200"/>
    </w:pPr>
    <w:rPr>
      <w:rFonts w:ascii="Calibri" w:hAnsi="Calibri" w:eastAsia="宋体" w:cs="Times New Roman"/>
      <w:sz w:val="24"/>
      <w:szCs w:val="24"/>
    </w:rPr>
  </w:style>
  <w:style w:type="paragraph" w:customStyle="1" w:styleId="28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86">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287">
    <w:name w:val="p0"/>
    <w:basedOn w:val="1"/>
    <w:qFormat/>
    <w:uiPriority w:val="0"/>
    <w:pPr>
      <w:widowControl/>
      <w:spacing w:line="440" w:lineRule="exact"/>
      <w:ind w:firstLine="200" w:firstLineChars="200"/>
    </w:pPr>
    <w:rPr>
      <w:rFonts w:ascii="Times New Roman" w:hAnsi="Times New Roman" w:eastAsia="宋体" w:cs="Times New Roman"/>
      <w:kern w:val="0"/>
      <w:szCs w:val="21"/>
    </w:rPr>
  </w:style>
  <w:style w:type="paragraph" w:customStyle="1" w:styleId="288">
    <w:name w:val="Definition List"/>
    <w:basedOn w:val="1"/>
    <w:next w:val="289"/>
    <w:qFormat/>
    <w:uiPriority w:val="0"/>
    <w:pPr>
      <w:autoSpaceDE w:val="0"/>
      <w:autoSpaceDN w:val="0"/>
      <w:adjustRightInd w:val="0"/>
      <w:ind w:left="360"/>
      <w:jc w:val="left"/>
    </w:pPr>
    <w:rPr>
      <w:rFonts w:ascii="Calibri" w:hAnsi="Calibri" w:eastAsia="宋体" w:cs="Times New Roman"/>
      <w:kern w:val="0"/>
      <w:sz w:val="24"/>
      <w:szCs w:val="20"/>
    </w:rPr>
  </w:style>
  <w:style w:type="paragraph" w:customStyle="1" w:styleId="289">
    <w:name w:val="Definition Term"/>
    <w:basedOn w:val="1"/>
    <w:next w:val="288"/>
    <w:qFormat/>
    <w:uiPriority w:val="0"/>
    <w:pPr>
      <w:autoSpaceDE w:val="0"/>
      <w:autoSpaceDN w:val="0"/>
      <w:adjustRightInd w:val="0"/>
      <w:jc w:val="left"/>
    </w:pPr>
    <w:rPr>
      <w:rFonts w:ascii="Calibri" w:hAnsi="Calibri" w:eastAsia="宋体" w:cs="Times New Roman"/>
      <w:kern w:val="0"/>
      <w:sz w:val="24"/>
      <w:szCs w:val="20"/>
    </w:rPr>
  </w:style>
  <w:style w:type="paragraph" w:customStyle="1" w:styleId="290">
    <w:name w:val="H6"/>
    <w:basedOn w:val="1"/>
    <w:next w:val="1"/>
    <w:qFormat/>
    <w:uiPriority w:val="0"/>
    <w:pPr>
      <w:keepNext/>
      <w:autoSpaceDE w:val="0"/>
      <w:autoSpaceDN w:val="0"/>
      <w:adjustRightInd w:val="0"/>
      <w:spacing w:before="100" w:after="100"/>
      <w:jc w:val="left"/>
      <w:outlineLvl w:val="6"/>
    </w:pPr>
    <w:rPr>
      <w:rFonts w:ascii="Calibri" w:hAnsi="Calibri" w:eastAsia="宋体" w:cs="Times New Roman"/>
      <w:b/>
      <w:kern w:val="0"/>
      <w:sz w:val="16"/>
      <w:szCs w:val="20"/>
    </w:rPr>
  </w:style>
  <w:style w:type="character" w:customStyle="1" w:styleId="291">
    <w:name w:val="z-窗体顶端 字符1"/>
    <w:basedOn w:val="56"/>
    <w:semiHidden/>
    <w:qFormat/>
    <w:uiPriority w:val="99"/>
    <w:rPr>
      <w:rFonts w:ascii="Arial" w:hAnsi="Arial" w:cs="Arial"/>
      <w:vanish/>
      <w:sz w:val="16"/>
      <w:szCs w:val="16"/>
    </w:rPr>
  </w:style>
  <w:style w:type="character" w:customStyle="1" w:styleId="292">
    <w:name w:val="明显引用 字符1"/>
    <w:basedOn w:val="56"/>
    <w:qFormat/>
    <w:uiPriority w:val="30"/>
    <w:rPr>
      <w:i/>
      <w:iCs/>
      <w:color w:val="4472C4" w:themeColor="accent1"/>
      <w14:textFill>
        <w14:solidFill>
          <w14:schemeClr w14:val="accent1"/>
        </w14:solidFill>
      </w14:textFill>
    </w:rPr>
  </w:style>
  <w:style w:type="paragraph" w:customStyle="1" w:styleId="293">
    <w:name w:val="样式 正文缩进正文（首行缩进两字）特点ALT+Z表正文正文非缩进四号段1Normal Indent Char2...2"/>
    <w:basedOn w:val="6"/>
    <w:qFormat/>
    <w:uiPriority w:val="0"/>
    <w:pPr>
      <w:tabs>
        <w:tab w:val="left" w:pos="1680"/>
      </w:tabs>
      <w:spacing w:before="360" w:line="360" w:lineRule="auto"/>
      <w:ind w:left="1680" w:hanging="420"/>
      <w:jc w:val="center"/>
    </w:pPr>
    <w:rPr>
      <w:rFonts w:ascii="宋体" w:hAnsi="宋体"/>
      <w:bCs/>
      <w:kern w:val="0"/>
      <w:sz w:val="28"/>
    </w:rPr>
  </w:style>
  <w:style w:type="paragraph" w:customStyle="1" w:styleId="294">
    <w:name w:val="xl31"/>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95">
    <w:name w:val="样式 正文缩进正文（首行缩进两字）特点ALT+Z表正文正文非缩进四号段1Normal Indent Char2..."/>
    <w:basedOn w:val="5"/>
    <w:next w:val="6"/>
    <w:qFormat/>
    <w:uiPriority w:val="0"/>
    <w:pPr>
      <w:tabs>
        <w:tab w:val="left" w:pos="840"/>
      </w:tabs>
      <w:spacing w:before="240" w:after="120" w:line="400" w:lineRule="exact"/>
      <w:ind w:left="840" w:hanging="420"/>
      <w:jc w:val="center"/>
    </w:pPr>
    <w:rPr>
      <w:rFonts w:ascii="宋体" w:hAnsi="宋体"/>
      <w:bCs/>
      <w:kern w:val="0"/>
    </w:rPr>
  </w:style>
  <w:style w:type="paragraph" w:customStyle="1" w:styleId="296">
    <w:name w:val="样式 正文缩进正文（首行缩进两字）特点ALT+Z表正文正文非缩进四号段1Normal Indent Char2...4"/>
    <w:basedOn w:val="22"/>
    <w:qFormat/>
    <w:uiPriority w:val="0"/>
    <w:pPr>
      <w:tabs>
        <w:tab w:val="left" w:pos="510"/>
        <w:tab w:val="left" w:pos="2520"/>
      </w:tabs>
      <w:spacing w:after="0" w:line="300" w:lineRule="auto"/>
      <w:ind w:left="2520" w:leftChars="0" w:hanging="420"/>
    </w:pPr>
    <w:rPr>
      <w:rFonts w:ascii="Times New Roman" w:hAnsi="宋体" w:eastAsia="宋体" w:cs="Times New Roman"/>
      <w:kern w:val="0"/>
      <w:sz w:val="24"/>
      <w:szCs w:val="20"/>
    </w:rPr>
  </w:style>
  <w:style w:type="paragraph" w:customStyle="1" w:styleId="297">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eastAsia="宋体" w:cs="Times New Roman"/>
      <w:kern w:val="0"/>
      <w:sz w:val="18"/>
      <w:szCs w:val="20"/>
    </w:rPr>
  </w:style>
  <w:style w:type="paragraph" w:customStyle="1" w:styleId="298">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299">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30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01">
    <w:name w:val="纯文本1"/>
    <w:basedOn w:val="1"/>
    <w:qFormat/>
    <w:uiPriority w:val="0"/>
    <w:pPr>
      <w:adjustRightInd w:val="0"/>
      <w:textAlignment w:val="baseline"/>
    </w:pPr>
    <w:rPr>
      <w:rFonts w:ascii="宋体" w:hAnsi="Courier New" w:eastAsia="宋体" w:cs="Times New Roman"/>
      <w:szCs w:val="20"/>
    </w:rPr>
  </w:style>
  <w:style w:type="paragraph" w:customStyle="1" w:styleId="302">
    <w:name w:val="1"/>
    <w:basedOn w:val="1"/>
    <w:next w:val="1"/>
    <w:qFormat/>
    <w:uiPriority w:val="0"/>
    <w:rPr>
      <w:rFonts w:ascii="Calibri" w:hAnsi="Calibri" w:eastAsia="宋体" w:cs="Times New Roman"/>
    </w:rPr>
  </w:style>
  <w:style w:type="paragraph" w:customStyle="1" w:styleId="303">
    <w:name w:val="Char Char Char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30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5">
    <w:name w:val="纯文本11"/>
    <w:basedOn w:val="1"/>
    <w:qFormat/>
    <w:uiPriority w:val="0"/>
    <w:pPr>
      <w:widowControl/>
      <w:spacing w:line="440" w:lineRule="exact"/>
      <w:ind w:firstLine="200" w:firstLineChars="200"/>
      <w:jc w:val="left"/>
    </w:pPr>
    <w:rPr>
      <w:rFonts w:ascii="宋体" w:hAnsi="Courier New" w:eastAsia="宋体" w:cs="Times New Roman"/>
      <w:kern w:val="0"/>
      <w:sz w:val="24"/>
      <w:szCs w:val="20"/>
      <w:lang w:eastAsia="en-US"/>
    </w:rPr>
  </w:style>
  <w:style w:type="paragraph" w:customStyle="1" w:styleId="306">
    <w:name w:val="格式2"/>
    <w:qFormat/>
    <w:uiPriority w:val="0"/>
    <w:pPr>
      <w:widowControl w:val="0"/>
      <w:adjustRightInd w:val="0"/>
      <w:snapToGrid w:val="0"/>
      <w:spacing w:before="50" w:line="440" w:lineRule="exact"/>
      <w:jc w:val="both"/>
    </w:pPr>
    <w:rPr>
      <w:rFonts w:ascii="Calibri" w:hAnsi="Calibri" w:eastAsia="宋体" w:cs="Times New Roman"/>
      <w:snapToGrid w:val="0"/>
      <w:sz w:val="24"/>
      <w:lang w:val="en-US" w:eastAsia="zh-CN" w:bidi="ar-SA"/>
    </w:rPr>
  </w:style>
  <w:style w:type="paragraph" w:customStyle="1" w:styleId="307">
    <w:name w:val="修订1"/>
    <w:qFormat/>
    <w:uiPriority w:val="0"/>
    <w:rPr>
      <w:rFonts w:ascii="Calibri" w:hAnsi="Calibri" w:eastAsia="宋体" w:cs="Times New Roman"/>
      <w:kern w:val="2"/>
      <w:sz w:val="21"/>
      <w:szCs w:val="22"/>
      <w:lang w:val="en-US" w:eastAsia="zh-CN" w:bidi="ar-SA"/>
    </w:rPr>
  </w:style>
  <w:style w:type="paragraph" w:customStyle="1" w:styleId="308">
    <w:name w:val="样式 标题 3 + (中文) 黑体 小四 非加粗 段前: 7.8 磅 段后: 0 磅 行距: 固定值 20 磅"/>
    <w:basedOn w:val="6"/>
    <w:qFormat/>
    <w:uiPriority w:val="0"/>
    <w:pPr>
      <w:spacing w:before="0" w:after="0" w:line="400" w:lineRule="exact"/>
    </w:pPr>
    <w:rPr>
      <w:rFonts w:eastAsia="黑体"/>
      <w:b w:val="0"/>
      <w:bCs/>
      <w:sz w:val="24"/>
    </w:rPr>
  </w:style>
  <w:style w:type="paragraph" w:customStyle="1" w:styleId="309">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310">
    <w:name w:val="样式 正文缩进正文（首行缩进两字）特点ALT+Z表正文正文非缩进四号段1Normal Indent Char2...1"/>
    <w:basedOn w:val="5"/>
    <w:qFormat/>
    <w:uiPriority w:val="0"/>
    <w:pPr>
      <w:tabs>
        <w:tab w:val="left" w:pos="1260"/>
      </w:tabs>
      <w:spacing w:before="1320" w:after="240" w:line="300" w:lineRule="auto"/>
      <w:ind w:left="1260" w:hanging="420"/>
      <w:jc w:val="center"/>
    </w:pPr>
    <w:rPr>
      <w:bCs/>
      <w:kern w:val="0"/>
    </w:rPr>
  </w:style>
  <w:style w:type="paragraph" w:customStyle="1" w:styleId="311">
    <w:name w:val="样式 标题 1 + 黑体 三号 非加粗 居中 段前: 6 磅 段后: 6 磅 行距: 固定值 20 磅"/>
    <w:basedOn w:val="4"/>
    <w:qFormat/>
    <w:uiPriority w:val="0"/>
    <w:pPr>
      <w:spacing w:before="120" w:after="120" w:line="400" w:lineRule="exact"/>
    </w:pPr>
    <w:rPr>
      <w:rFonts w:ascii="黑体" w:hAnsi="黑体" w:eastAsia="黑体"/>
      <w:b w:val="0"/>
      <w:bCs/>
      <w:sz w:val="32"/>
    </w:rPr>
  </w:style>
  <w:style w:type="paragraph" w:customStyle="1" w:styleId="312">
    <w:name w:val="样式 标题 1 + 宋体 居中 段前: 48 磅 段后: 12 磅 行距: 1.5 倍行距"/>
    <w:basedOn w:val="4"/>
    <w:qFormat/>
    <w:uiPriority w:val="0"/>
    <w:pPr>
      <w:snapToGrid w:val="0"/>
      <w:spacing w:before="1560" w:after="240"/>
    </w:pPr>
    <w:rPr>
      <w:rFonts w:ascii="宋体" w:hAnsi="宋体"/>
      <w:b w:val="0"/>
      <w:bCs/>
      <w:kern w:val="2"/>
      <w:sz w:val="36"/>
    </w:rPr>
  </w:style>
  <w:style w:type="paragraph" w:customStyle="1" w:styleId="313">
    <w:name w:val="样式 宋体"/>
    <w:basedOn w:val="1"/>
    <w:qFormat/>
    <w:uiPriority w:val="0"/>
    <w:pPr>
      <w:spacing w:line="360" w:lineRule="auto"/>
      <w:ind w:firstLine="100" w:firstLineChars="100"/>
    </w:pPr>
    <w:rPr>
      <w:rFonts w:ascii="宋体" w:hAnsi="宋体" w:eastAsia="宋体" w:cs="宋体"/>
      <w:szCs w:val="20"/>
    </w:rPr>
  </w:style>
  <w:style w:type="paragraph" w:customStyle="1" w:styleId="3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6">
    <w:name w:val="xl30"/>
    <w:basedOn w:val="1"/>
    <w:qFormat/>
    <w:uiPriority w:val="0"/>
    <w:pPr>
      <w:widowControl/>
      <w:pBdr>
        <w:left w:val="single" w:color="auto" w:sz="6" w:space="0"/>
        <w:bottom w:val="single" w:color="auto" w:sz="6" w:space="0"/>
        <w:right w:val="single" w:color="auto" w:sz="6" w:space="0"/>
      </w:pBdr>
      <w:adjustRightInd w:val="0"/>
      <w:spacing w:before="100" w:after="100"/>
      <w:jc w:val="center"/>
      <w:textAlignment w:val="center"/>
    </w:pPr>
    <w:rPr>
      <w:rFonts w:ascii="宋体" w:hAnsi="宋体" w:eastAsia="宋体" w:cs="Times New Roman"/>
      <w:kern w:val="0"/>
      <w:szCs w:val="20"/>
    </w:rPr>
  </w:style>
  <w:style w:type="paragraph" w:customStyle="1" w:styleId="317">
    <w:name w:val="文档结构图1"/>
    <w:basedOn w:val="1"/>
    <w:qFormat/>
    <w:uiPriority w:val="0"/>
    <w:pPr>
      <w:shd w:val="clear" w:color="auto" w:fill="000080"/>
      <w:spacing w:line="440" w:lineRule="exact"/>
      <w:ind w:firstLine="200" w:firstLineChars="200"/>
    </w:pPr>
    <w:rPr>
      <w:rFonts w:ascii="Times New Roman" w:hAnsi="Times New Roman" w:eastAsia="宋体" w:cs="Times New Roman"/>
      <w:szCs w:val="24"/>
    </w:rPr>
  </w:style>
  <w:style w:type="paragraph" w:customStyle="1" w:styleId="318">
    <w:name w:val="默认段落字体 Para Char Char Char Char Char Char Char"/>
    <w:basedOn w:val="1"/>
    <w:qFormat/>
    <w:uiPriority w:val="0"/>
    <w:rPr>
      <w:rFonts w:ascii="Tahoma" w:hAnsi="Tahoma" w:eastAsia="宋体" w:cs="Times New Roman"/>
      <w:sz w:val="24"/>
      <w:szCs w:val="20"/>
    </w:rPr>
  </w:style>
  <w:style w:type="paragraph" w:customStyle="1" w:styleId="319">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20">
    <w:name w:val="xl47"/>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321">
    <w:name w:val="表格"/>
    <w:basedOn w:val="1"/>
    <w:qFormat/>
    <w:uiPriority w:val="0"/>
    <w:pPr>
      <w:jc w:val="center"/>
    </w:pPr>
    <w:rPr>
      <w:rFonts w:ascii="华文细黑" w:hAnsi="华文细黑" w:eastAsia="宋体" w:cs="Times New Roman"/>
      <w:kern w:val="0"/>
      <w:szCs w:val="20"/>
    </w:rPr>
  </w:style>
  <w:style w:type="paragraph" w:customStyle="1" w:styleId="322">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sz w:val="28"/>
    </w:rPr>
  </w:style>
  <w:style w:type="paragraph" w:customStyle="1" w:styleId="3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4">
    <w:name w:val="pa-2"/>
    <w:basedOn w:val="1"/>
    <w:qFormat/>
    <w:uiPriority w:val="0"/>
    <w:pPr>
      <w:widowControl/>
      <w:spacing w:line="360" w:lineRule="atLeast"/>
      <w:ind w:firstLine="420"/>
    </w:pPr>
    <w:rPr>
      <w:rFonts w:ascii="宋体" w:hAnsi="宋体" w:eastAsia="宋体" w:cs="宋体"/>
      <w:kern w:val="0"/>
      <w:sz w:val="24"/>
      <w:szCs w:val="24"/>
    </w:rPr>
  </w:style>
  <w:style w:type="paragraph" w:customStyle="1" w:styleId="325">
    <w:name w:val="样式4"/>
    <w:basedOn w:val="6"/>
    <w:qFormat/>
    <w:uiPriority w:val="0"/>
    <w:rPr>
      <w:rFonts w:eastAsia="Arial"/>
    </w:rPr>
  </w:style>
  <w:style w:type="paragraph" w:styleId="326">
    <w:name w:val="List Paragraph"/>
    <w:basedOn w:val="1"/>
    <w:qFormat/>
    <w:uiPriority w:val="0"/>
    <w:pPr>
      <w:ind w:firstLine="420" w:firstLineChars="200"/>
    </w:pPr>
    <w:rPr>
      <w:rFonts w:ascii="Calibri" w:hAnsi="Calibri" w:eastAsia="宋体" w:cs="Times New Roman"/>
    </w:rPr>
  </w:style>
  <w:style w:type="paragraph" w:customStyle="1" w:styleId="327">
    <w:name w:val="Address"/>
    <w:basedOn w:val="1"/>
    <w:next w:val="1"/>
    <w:qFormat/>
    <w:uiPriority w:val="0"/>
    <w:pPr>
      <w:widowControl/>
      <w:autoSpaceDE w:val="0"/>
      <w:autoSpaceDN w:val="0"/>
      <w:adjustRightInd w:val="0"/>
      <w:jc w:val="left"/>
    </w:pPr>
    <w:rPr>
      <w:rFonts w:ascii="Calibri" w:hAnsi="Calibri" w:eastAsia="宋体" w:cs="Times New Roman"/>
      <w:i/>
      <w:kern w:val="0"/>
      <w:sz w:val="24"/>
      <w:szCs w:val="20"/>
    </w:rPr>
  </w:style>
  <w:style w:type="paragraph" w:customStyle="1" w:styleId="328">
    <w:name w:val="格式1"/>
    <w:basedOn w:val="1"/>
    <w:qFormat/>
    <w:uiPriority w:val="0"/>
    <w:pPr>
      <w:spacing w:before="156" w:beforeLines="50"/>
      <w:jc w:val="center"/>
    </w:pPr>
    <w:rPr>
      <w:rFonts w:ascii="黑体" w:hAnsi="宋体" w:eastAsia="黑体" w:cs="Times New Roman"/>
      <w:b/>
      <w:color w:val="000000"/>
      <w:sz w:val="32"/>
      <w:szCs w:val="20"/>
    </w:rPr>
  </w:style>
  <w:style w:type="paragraph" w:customStyle="1" w:styleId="329">
    <w:name w:val="font7"/>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330">
    <w:name w:val="H2"/>
    <w:basedOn w:val="1"/>
    <w:next w:val="1"/>
    <w:qFormat/>
    <w:uiPriority w:val="0"/>
    <w:pPr>
      <w:keepNext/>
      <w:autoSpaceDE w:val="0"/>
      <w:autoSpaceDN w:val="0"/>
      <w:adjustRightInd w:val="0"/>
      <w:spacing w:before="100" w:after="100"/>
      <w:jc w:val="left"/>
      <w:outlineLvl w:val="2"/>
    </w:pPr>
    <w:rPr>
      <w:rFonts w:ascii="Calibri" w:hAnsi="Calibri" w:eastAsia="宋体" w:cs="Times New Roman"/>
      <w:b/>
      <w:kern w:val="0"/>
      <w:sz w:val="36"/>
      <w:szCs w:val="20"/>
    </w:rPr>
  </w:style>
  <w:style w:type="paragraph" w:customStyle="1" w:styleId="331">
    <w:name w:val="标题 3_0"/>
    <w:basedOn w:val="229"/>
    <w:next w:val="229"/>
    <w:qFormat/>
    <w:uiPriority w:val="0"/>
    <w:pPr>
      <w:keepNext/>
      <w:keepLines/>
      <w:spacing w:before="120" w:after="120"/>
      <w:jc w:val="left"/>
      <w:outlineLvl w:val="1"/>
    </w:pPr>
    <w:rPr>
      <w:b/>
      <w:bCs/>
      <w:sz w:val="28"/>
      <w:szCs w:val="32"/>
    </w:rPr>
  </w:style>
  <w:style w:type="paragraph" w:customStyle="1" w:styleId="332">
    <w:name w:val="6'"/>
    <w:basedOn w:val="1"/>
    <w:qFormat/>
    <w:uiPriority w:val="0"/>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333">
    <w:name w:val="Char Char Char1 Char"/>
    <w:basedOn w:val="1"/>
    <w:qFormat/>
    <w:uiPriority w:val="0"/>
    <w:rPr>
      <w:rFonts w:ascii="Calibri" w:hAnsi="Calibri" w:eastAsia="宋体" w:cs="Times New Roman"/>
      <w:szCs w:val="20"/>
    </w:rPr>
  </w:style>
  <w:style w:type="paragraph" w:customStyle="1" w:styleId="334">
    <w:name w:val="样式 样式 宋体 + 首行缩进:  1 字符"/>
    <w:basedOn w:val="313"/>
    <w:qFormat/>
    <w:uiPriority w:val="0"/>
    <w:pPr>
      <w:spacing w:before="50" w:beforeLines="50" w:after="50" w:afterLines="50" w:line="240" w:lineRule="auto"/>
    </w:pPr>
  </w:style>
  <w:style w:type="paragraph" w:customStyle="1" w:styleId="335">
    <w:name w:val="样式3"/>
    <w:basedOn w:val="6"/>
    <w:qFormat/>
    <w:uiPriority w:val="0"/>
    <w:rPr>
      <w:rFonts w:eastAsia="Arial"/>
    </w:rPr>
  </w:style>
  <w:style w:type="paragraph" w:customStyle="1" w:styleId="336">
    <w:name w:val="pa-3"/>
    <w:basedOn w:val="1"/>
    <w:qFormat/>
    <w:uiPriority w:val="0"/>
    <w:pPr>
      <w:widowControl/>
      <w:spacing w:line="360" w:lineRule="atLeast"/>
      <w:ind w:firstLine="300"/>
    </w:pPr>
    <w:rPr>
      <w:rFonts w:ascii="宋体" w:hAnsi="宋体" w:eastAsia="宋体" w:cs="宋体"/>
      <w:kern w:val="0"/>
      <w:sz w:val="24"/>
      <w:szCs w:val="24"/>
    </w:rPr>
  </w:style>
  <w:style w:type="paragraph" w:customStyle="1" w:styleId="33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38">
    <w:name w:val="样式1"/>
    <w:basedOn w:val="6"/>
    <w:qFormat/>
    <w:uiPriority w:val="0"/>
    <w:rPr>
      <w:rFonts w:eastAsia="Arial"/>
    </w:rPr>
  </w:style>
  <w:style w:type="paragraph" w:customStyle="1" w:styleId="339">
    <w:name w:val="正文文本 31"/>
    <w:basedOn w:val="1"/>
    <w:qFormat/>
    <w:uiPriority w:val="0"/>
    <w:pPr>
      <w:widowControl/>
      <w:spacing w:after="120" w:line="440" w:lineRule="exact"/>
      <w:ind w:firstLine="200" w:firstLineChars="200"/>
      <w:jc w:val="left"/>
    </w:pPr>
    <w:rPr>
      <w:rFonts w:ascii="Calibri" w:hAnsi="Calibri" w:eastAsia="宋体" w:cs="Times New Roman"/>
      <w:kern w:val="0"/>
      <w:sz w:val="16"/>
      <w:szCs w:val="20"/>
      <w:lang w:eastAsia="en-US"/>
    </w:rPr>
  </w:style>
  <w:style w:type="paragraph" w:customStyle="1" w:styleId="34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41">
    <w:name w:val="myparagraph"/>
    <w:basedOn w:val="1"/>
    <w:qFormat/>
    <w:uiPriority w:val="0"/>
    <w:pPr>
      <w:widowControl/>
      <w:spacing w:before="100" w:beforeAutospacing="1" w:after="100" w:afterAutospacing="1"/>
      <w:ind w:firstLine="480"/>
      <w:jc w:val="left"/>
    </w:pPr>
    <w:rPr>
      <w:rFonts w:hint="eastAsia" w:ascii="宋体" w:hAnsi="宋体" w:eastAsia="宋体" w:cs="Times New Roman"/>
      <w:kern w:val="0"/>
      <w:sz w:val="28"/>
      <w:szCs w:val="20"/>
    </w:rPr>
  </w:style>
  <w:style w:type="paragraph" w:customStyle="1" w:styleId="342">
    <w:name w:val="金安桥正文"/>
    <w:basedOn w:val="22"/>
    <w:qFormat/>
    <w:uiPriority w:val="0"/>
    <w:pPr>
      <w:adjustRightInd w:val="0"/>
      <w:spacing w:after="0" w:line="300" w:lineRule="auto"/>
      <w:ind w:left="0" w:leftChars="0" w:firstLine="200" w:firstLineChars="200"/>
      <w:jc w:val="left"/>
    </w:pPr>
    <w:rPr>
      <w:rFonts w:ascii="Times New Roman" w:hAnsi="Times New Roman" w:eastAsia="宋体" w:cs="Times New Roman"/>
      <w:kern w:val="0"/>
      <w:sz w:val="24"/>
      <w:szCs w:val="20"/>
    </w:rPr>
  </w:style>
  <w:style w:type="paragraph" w:customStyle="1" w:styleId="343">
    <w:name w:val="H3"/>
    <w:basedOn w:val="1"/>
    <w:next w:val="1"/>
    <w:qFormat/>
    <w:uiPriority w:val="0"/>
    <w:pPr>
      <w:keepNext/>
      <w:autoSpaceDE w:val="0"/>
      <w:autoSpaceDN w:val="0"/>
      <w:adjustRightInd w:val="0"/>
      <w:spacing w:before="100" w:after="100"/>
      <w:jc w:val="left"/>
      <w:outlineLvl w:val="3"/>
    </w:pPr>
    <w:rPr>
      <w:rFonts w:ascii="Calibri" w:hAnsi="Calibri" w:eastAsia="宋体" w:cs="Times New Roman"/>
      <w:b/>
      <w:kern w:val="0"/>
      <w:sz w:val="28"/>
      <w:szCs w:val="20"/>
    </w:rPr>
  </w:style>
  <w:style w:type="paragraph" w:customStyle="1" w:styleId="344">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45">
    <w:name w:val="H1"/>
    <w:basedOn w:val="1"/>
    <w:next w:val="1"/>
    <w:qFormat/>
    <w:uiPriority w:val="0"/>
    <w:pPr>
      <w:keepNext/>
      <w:autoSpaceDE w:val="0"/>
      <w:autoSpaceDN w:val="0"/>
      <w:adjustRightInd w:val="0"/>
      <w:spacing w:before="100" w:after="100"/>
      <w:jc w:val="left"/>
      <w:outlineLvl w:val="1"/>
    </w:pPr>
    <w:rPr>
      <w:rFonts w:ascii="Calibri" w:hAnsi="Calibri" w:eastAsia="宋体" w:cs="Times New Roman"/>
      <w:b/>
      <w:kern w:val="36"/>
      <w:sz w:val="48"/>
      <w:szCs w:val="20"/>
    </w:rPr>
  </w:style>
  <w:style w:type="paragraph" w:customStyle="1" w:styleId="346">
    <w:name w:val="正文 + 黑体"/>
    <w:basedOn w:val="1"/>
    <w:qFormat/>
    <w:uiPriority w:val="0"/>
    <w:pPr>
      <w:autoSpaceDE w:val="0"/>
      <w:autoSpaceDN w:val="0"/>
      <w:adjustRightInd w:val="0"/>
      <w:jc w:val="left"/>
    </w:pPr>
    <w:rPr>
      <w:rFonts w:ascii="黑体" w:hAnsi="宋体" w:eastAsia="黑体" w:cs="TimesNewRomanPSMT"/>
      <w:kern w:val="0"/>
      <w:sz w:val="24"/>
      <w:szCs w:val="24"/>
    </w:rPr>
  </w:style>
  <w:style w:type="paragraph" w:customStyle="1" w:styleId="3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8">
    <w:name w:val="日期1"/>
    <w:basedOn w:val="1"/>
    <w:next w:val="1"/>
    <w:qFormat/>
    <w:uiPriority w:val="0"/>
    <w:pPr>
      <w:spacing w:line="440" w:lineRule="exact"/>
      <w:ind w:left="100" w:leftChars="2500" w:firstLine="200" w:firstLineChars="200"/>
    </w:pPr>
    <w:rPr>
      <w:rFonts w:ascii="Times New Roman" w:hAnsi="Times New Roman" w:eastAsia="宋体" w:cs="Times New Roman"/>
      <w:szCs w:val="24"/>
    </w:rPr>
  </w:style>
  <w:style w:type="table" w:customStyle="1" w:styleId="349">
    <w:name w:val="TableGrid"/>
    <w:qFormat/>
    <w:uiPriority w:val="0"/>
    <w:rPr>
      <w:rFonts w:ascii="等线" w:hAnsi="等线" w:eastAsia="等线"/>
    </w:rPr>
    <w:tblPr>
      <w:tblCellMar>
        <w:top w:w="0" w:type="dxa"/>
        <w:left w:w="0" w:type="dxa"/>
        <w:bottom w:w="0" w:type="dxa"/>
        <w:right w:w="0" w:type="dxa"/>
      </w:tblCellMar>
    </w:tblPr>
  </w:style>
  <w:style w:type="character" w:customStyle="1" w:styleId="350">
    <w:name w:val="表格文字 Char"/>
    <w:link w:val="276"/>
    <w:qFormat/>
    <w:uiPriority w:val="2"/>
    <w:rPr>
      <w:rFonts w:ascii="Calibri" w:hAnsi="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12183</Words>
  <Characters>13036</Characters>
  <Lines>108</Lines>
  <Paragraphs>30</Paragraphs>
  <TotalTime>117</TotalTime>
  <ScaleCrop>false</ScaleCrop>
  <LinksUpToDate>false</LinksUpToDate>
  <CharactersWithSpaces>14176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2022-12-13T11:20:00Z</dcterms:created>
  <dc:creator>徐 靖</dc:creator>
  <cp:lastModifiedBy>别致的柔情ゝ</cp:lastModifiedBy>
  <cp:lastPrinted>2021-09-10T08:20:00Z</cp:lastPrinted>
  <dcterms:modified xsi:type="dcterms:W3CDTF">2022-12-14T07:25:06Z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658CF00979BD416083B5A96409B99CCA</vt:lpwstr>
  </property>
</Properties>
</file>