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20"/>
          <w:sz w:val="72"/>
          <w:szCs w:val="20"/>
        </w:rPr>
      </w:pPr>
    </w:p>
    <w:p>
      <w:pPr>
        <w:jc w:val="center"/>
        <w:rPr>
          <w:rFonts w:asciiTheme="minorEastAsia" w:hAnsiTheme="minorEastAsia" w:eastAsiaTheme="minorEastAsia"/>
          <w:spacing w:val="20"/>
          <w:sz w:val="72"/>
          <w:szCs w:val="20"/>
        </w:rPr>
      </w:pPr>
      <w:r>
        <w:rPr>
          <w:rFonts w:hint="eastAsia" w:asciiTheme="minorEastAsia" w:hAnsiTheme="minorEastAsia" w:eastAsiaTheme="minorEastAsia"/>
          <w:spacing w:val="20"/>
          <w:sz w:val="72"/>
          <w:szCs w:val="20"/>
        </w:rPr>
        <w:t>靖江市国企采购</w:t>
      </w:r>
    </w:p>
    <w:p>
      <w:pPr>
        <w:jc w:val="center"/>
        <w:rPr>
          <w:rFonts w:asciiTheme="minorEastAsia" w:hAnsiTheme="minorEastAsia" w:eastAsiaTheme="minorEastAsia"/>
          <w:spacing w:val="20"/>
          <w:sz w:val="72"/>
          <w:szCs w:val="20"/>
        </w:rPr>
      </w:pPr>
    </w:p>
    <w:p>
      <w:pPr>
        <w:jc w:val="center"/>
        <w:rPr>
          <w:rFonts w:asciiTheme="minorEastAsia" w:hAnsiTheme="minorEastAsia" w:eastAsiaTheme="minorEastAsia"/>
          <w:spacing w:val="20"/>
          <w:sz w:val="72"/>
          <w:szCs w:val="20"/>
        </w:rPr>
      </w:pPr>
    </w:p>
    <w:p>
      <w:pPr>
        <w:jc w:val="center"/>
        <w:rPr>
          <w:rFonts w:asciiTheme="minorEastAsia" w:hAnsiTheme="minorEastAsia" w:eastAsiaTheme="minorEastAsia"/>
          <w:spacing w:val="20"/>
          <w:sz w:val="72"/>
          <w:szCs w:val="20"/>
        </w:rPr>
      </w:pPr>
    </w:p>
    <w:p>
      <w:pPr>
        <w:jc w:val="center"/>
        <w:rPr>
          <w:rFonts w:asciiTheme="minorEastAsia" w:hAnsiTheme="minorEastAsia" w:eastAsiaTheme="minorEastAsia"/>
          <w:spacing w:val="20"/>
          <w:sz w:val="72"/>
          <w:szCs w:val="20"/>
        </w:rPr>
      </w:pPr>
      <w:r>
        <w:rPr>
          <w:rFonts w:asciiTheme="minorEastAsia" w:hAnsiTheme="minorEastAsia" w:eastAsiaTheme="minorEastAsia"/>
          <w:spacing w:val="20"/>
          <w:sz w:val="72"/>
          <w:szCs w:val="20"/>
        </w:rPr>
        <w:pict>
          <v:line id="直接连接符 1" o:spid="_x0000_s1027" o:spt="20" style="position:absolute;left:0pt;margin-left:-9pt;margin-top:15.6pt;height:0pt;width:0.05pt;z-index:251659264;mso-width-relative:page;mso-height-relative:page;" coordsize="21600,21600" o:allowincell="f">
            <v:path arrowok="t"/>
            <v:fill focussize="0,0"/>
            <v:stroke/>
            <v:imagedata o:title=""/>
            <o:lock v:ext="edit"/>
          </v:line>
        </w:pict>
      </w:r>
      <w:r>
        <w:rPr>
          <w:rFonts w:hint="eastAsia" w:asciiTheme="minorEastAsia" w:hAnsiTheme="minorEastAsia" w:eastAsiaTheme="minorEastAsia"/>
          <w:spacing w:val="20"/>
          <w:sz w:val="72"/>
          <w:szCs w:val="20"/>
        </w:rPr>
        <w:t>招标文件</w:t>
      </w:r>
    </w:p>
    <w:p>
      <w:pPr>
        <w:jc w:val="center"/>
        <w:rPr>
          <w:rFonts w:ascii="黑体" w:hAnsi="华文中宋" w:eastAsia="黑体"/>
          <w:spacing w:val="20"/>
          <w:sz w:val="72"/>
          <w:szCs w:val="20"/>
        </w:rPr>
      </w:pPr>
    </w:p>
    <w:p>
      <w:pPr>
        <w:jc w:val="center"/>
        <w:rPr>
          <w:rFonts w:ascii="黑体" w:hAnsi="华文中宋" w:eastAsia="黑体"/>
          <w:spacing w:val="20"/>
          <w:sz w:val="72"/>
          <w:szCs w:val="20"/>
        </w:rPr>
      </w:pPr>
    </w:p>
    <w:p>
      <w:pPr>
        <w:jc w:val="center"/>
        <w:rPr>
          <w:rFonts w:ascii="黑体" w:hAnsi="华文中宋" w:eastAsia="黑体"/>
          <w:spacing w:val="20"/>
          <w:sz w:val="72"/>
          <w:szCs w:val="20"/>
        </w:rPr>
      </w:pPr>
    </w:p>
    <w:p>
      <w:pPr>
        <w:ind w:firstLine="640" w:firstLineChars="200"/>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采购项目名称：三峰靖江港务职工食堂承包项目</w:t>
      </w:r>
    </w:p>
    <w:p>
      <w:pPr>
        <w:ind w:firstLine="640" w:firstLineChars="200"/>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 xml:space="preserve">采购人：三峰靖江港务物流有限责任公司      </w:t>
      </w:r>
    </w:p>
    <w:p>
      <w:pPr>
        <w:ind w:firstLine="640" w:firstLineChars="200"/>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采购代理机构：</w:t>
      </w:r>
      <w:r>
        <w:rPr>
          <w:rFonts w:asciiTheme="minorEastAsia" w:hAnsiTheme="minorEastAsia" w:eastAsiaTheme="minorEastAsia"/>
          <w:spacing w:val="20"/>
          <w:sz w:val="28"/>
          <w:szCs w:val="28"/>
        </w:rPr>
        <w:t>泰州市皓德工程管理有限公司</w:t>
      </w:r>
    </w:p>
    <w:p>
      <w:pPr>
        <w:jc w:val="center"/>
        <w:rPr>
          <w:rFonts w:asciiTheme="minorEastAsia" w:hAnsiTheme="minorEastAsia" w:eastAsiaTheme="minorEastAsia"/>
          <w:spacing w:val="20"/>
          <w:sz w:val="28"/>
          <w:szCs w:val="28"/>
        </w:rPr>
      </w:pPr>
    </w:p>
    <w:p>
      <w:pPr>
        <w:jc w:val="center"/>
        <w:rPr>
          <w:rFonts w:asciiTheme="minorEastAsia" w:hAnsiTheme="minorEastAsia" w:eastAsiaTheme="minorEastAsia"/>
          <w:spacing w:val="20"/>
          <w:sz w:val="28"/>
          <w:szCs w:val="28"/>
        </w:rPr>
      </w:pPr>
    </w:p>
    <w:p>
      <w:pPr>
        <w:jc w:val="center"/>
        <w:rPr>
          <w:rFonts w:asciiTheme="minorEastAsia" w:hAnsiTheme="minorEastAsia" w:eastAsiaTheme="minorEastAsia"/>
          <w:spacing w:val="20"/>
          <w:sz w:val="28"/>
          <w:szCs w:val="28"/>
        </w:rPr>
      </w:pPr>
    </w:p>
    <w:p>
      <w:pPr>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2022年</w:t>
      </w:r>
      <w:r>
        <w:rPr>
          <w:rFonts w:asciiTheme="minorEastAsia" w:hAnsiTheme="minorEastAsia" w:eastAsiaTheme="minorEastAsia"/>
          <w:spacing w:val="20"/>
          <w:sz w:val="28"/>
          <w:szCs w:val="28"/>
        </w:rPr>
        <w:t>1</w:t>
      </w:r>
      <w:r>
        <w:rPr>
          <w:rFonts w:hint="eastAsia" w:asciiTheme="minorEastAsia" w:hAnsiTheme="minorEastAsia" w:eastAsiaTheme="minorEastAsia"/>
          <w:spacing w:val="20"/>
          <w:sz w:val="28"/>
          <w:szCs w:val="28"/>
        </w:rPr>
        <w:t>1月</w:t>
      </w:r>
    </w:p>
    <w:p>
      <w:pPr>
        <w:widowControl/>
        <w:spacing w:line="360" w:lineRule="auto"/>
        <w:ind w:firstLine="640" w:firstLineChars="200"/>
        <w:rPr>
          <w:rFonts w:cs="方正仿宋_GBK" w:asciiTheme="minorEastAsia" w:hAnsiTheme="minorEastAsia" w:eastAsiaTheme="minorEastAsia"/>
          <w:color w:val="000000"/>
          <w:kern w:val="0"/>
          <w:sz w:val="32"/>
          <w:szCs w:val="32"/>
        </w:rPr>
      </w:pPr>
    </w:p>
    <w:p>
      <w:pPr>
        <w:widowControl/>
        <w:spacing w:line="360" w:lineRule="auto"/>
        <w:ind w:firstLine="640" w:firstLineChars="200"/>
        <w:rPr>
          <w:rFonts w:cs="方正仿宋_GBK" w:asciiTheme="minorEastAsia" w:hAnsiTheme="minorEastAsia" w:eastAsiaTheme="minorEastAsia"/>
          <w:color w:val="000000"/>
          <w:kern w:val="0"/>
          <w:sz w:val="32"/>
          <w:szCs w:val="32"/>
        </w:rPr>
      </w:pPr>
    </w:p>
    <w:p>
      <w:pPr>
        <w:pStyle w:val="2"/>
      </w:pPr>
    </w:p>
    <w:p>
      <w:pPr>
        <w:pStyle w:val="2"/>
        <w:ind w:firstLine="3310" w:firstLineChars="916"/>
        <w:rPr>
          <w:rFonts w:cs="方正仿宋_GBK" w:asciiTheme="minorEastAsia" w:hAnsiTheme="minorEastAsia" w:eastAsiaTheme="minorEastAsia"/>
          <w:b/>
          <w:color w:val="000000"/>
          <w:sz w:val="36"/>
          <w:szCs w:val="36"/>
        </w:rPr>
      </w:pPr>
      <w:r>
        <w:rPr>
          <w:rFonts w:hint="eastAsia" w:cs="方正仿宋_GBK" w:asciiTheme="minorEastAsia" w:hAnsiTheme="minorEastAsia" w:eastAsiaTheme="minorEastAsia"/>
          <w:b/>
          <w:color w:val="000000"/>
          <w:sz w:val="36"/>
          <w:szCs w:val="36"/>
        </w:rPr>
        <w:t>招标公告</w:t>
      </w:r>
    </w:p>
    <w:p>
      <w:pPr>
        <w:widowControl/>
        <w:spacing w:line="360" w:lineRule="auto"/>
        <w:ind w:firstLine="640" w:firstLineChars="200"/>
        <w:rPr>
          <w:rFonts w:cs="方正仿宋_GBK" w:asciiTheme="minorEastAsia" w:hAnsiTheme="minorEastAsia" w:eastAsiaTheme="minorEastAsia"/>
          <w:b/>
          <w:bCs/>
          <w:color w:val="000000"/>
          <w:kern w:val="0"/>
          <w:sz w:val="32"/>
          <w:szCs w:val="32"/>
        </w:rPr>
      </w:pPr>
      <w:r>
        <w:rPr>
          <w:rFonts w:cs="方正仿宋_GBK" w:asciiTheme="minorEastAsia" w:hAnsiTheme="minorEastAsia" w:eastAsiaTheme="minorEastAsia"/>
          <w:color w:val="000000"/>
          <w:kern w:val="0"/>
          <w:sz w:val="32"/>
          <w:szCs w:val="32"/>
        </w:rPr>
        <w:t>泰州市皓德工程管理有限公司</w:t>
      </w:r>
      <w:r>
        <w:rPr>
          <w:rFonts w:hint="eastAsia" w:cs="方正仿宋_GBK" w:asciiTheme="minorEastAsia" w:hAnsiTheme="minorEastAsia" w:eastAsiaTheme="minorEastAsia"/>
          <w:color w:val="000000"/>
          <w:kern w:val="0"/>
          <w:sz w:val="32"/>
          <w:szCs w:val="32"/>
        </w:rPr>
        <w:t>受三峰靖江港务物流有限责任公司委托，对三峰靖江港务职工食堂承包项目组织</w:t>
      </w:r>
      <w:r>
        <w:rPr>
          <w:rFonts w:cs="方正仿宋_GBK" w:asciiTheme="minorEastAsia" w:hAnsiTheme="minorEastAsia" w:eastAsiaTheme="minorEastAsia"/>
          <w:color w:val="000000"/>
          <w:kern w:val="0"/>
          <w:sz w:val="32"/>
          <w:szCs w:val="32"/>
        </w:rPr>
        <w:t>采购</w:t>
      </w:r>
      <w:r>
        <w:rPr>
          <w:rFonts w:hint="eastAsia" w:cs="方正仿宋_GBK" w:asciiTheme="minorEastAsia" w:hAnsiTheme="minorEastAsia" w:eastAsiaTheme="minorEastAsia"/>
          <w:color w:val="000000"/>
          <w:kern w:val="0"/>
          <w:sz w:val="32"/>
          <w:szCs w:val="32"/>
        </w:rPr>
        <w:t>。本项目已具备招标条件</w:t>
      </w:r>
      <w:r>
        <w:rPr>
          <w:rFonts w:hint="eastAsia" w:cs="方正仿宋_GBK" w:asciiTheme="minorEastAsia" w:hAnsiTheme="minorEastAsia" w:eastAsiaTheme="minorEastAsia"/>
          <w:color w:val="000000"/>
          <w:kern w:val="0"/>
          <w:sz w:val="32"/>
          <w:szCs w:val="32"/>
          <w:lang w:val="zh-CN"/>
        </w:rPr>
        <w:t>，具体情况如下</w:t>
      </w:r>
      <w:r>
        <w:rPr>
          <w:rFonts w:hint="eastAsia" w:cs="方正仿宋_GBK" w:asciiTheme="minorEastAsia" w:hAnsiTheme="minorEastAsia" w:eastAsiaTheme="minorEastAsia"/>
          <w:color w:val="000000"/>
          <w:kern w:val="0"/>
          <w:sz w:val="32"/>
          <w:szCs w:val="32"/>
        </w:rPr>
        <w:t>。</w:t>
      </w:r>
    </w:p>
    <w:p>
      <w:pPr>
        <w:widowControl/>
        <w:tabs>
          <w:tab w:val="left" w:pos="6915"/>
        </w:tabs>
        <w:spacing w:line="360" w:lineRule="auto"/>
        <w:ind w:firstLine="640" w:firstLineChars="200"/>
        <w:rPr>
          <w:rFonts w:cs="方正黑体_GBK" w:asciiTheme="minorEastAsia" w:hAnsiTheme="minorEastAsia" w:eastAsiaTheme="minorEastAsia"/>
          <w:bCs/>
          <w:color w:val="000000"/>
          <w:kern w:val="0"/>
          <w:sz w:val="32"/>
          <w:szCs w:val="32"/>
          <w:highlight w:val="white"/>
        </w:rPr>
      </w:pPr>
      <w:r>
        <w:rPr>
          <w:rFonts w:hint="eastAsia" w:cs="方正黑体_GBK" w:asciiTheme="minorEastAsia" w:hAnsiTheme="minorEastAsia" w:eastAsiaTheme="minorEastAsia"/>
          <w:bCs/>
          <w:color w:val="000000"/>
          <w:kern w:val="0"/>
          <w:sz w:val="32"/>
          <w:szCs w:val="32"/>
          <w:highlight w:val="white"/>
        </w:rPr>
        <w:t>一、项目概况</w:t>
      </w:r>
    </w:p>
    <w:p>
      <w:pPr>
        <w:autoSpaceDE w:val="0"/>
        <w:autoSpaceDN w:val="0"/>
        <w:adjustRightInd w:val="0"/>
        <w:spacing w:line="360" w:lineRule="auto"/>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color w:val="000000"/>
          <w:kern w:val="0"/>
          <w:sz w:val="32"/>
          <w:szCs w:val="32"/>
          <w:highlight w:val="white"/>
        </w:rPr>
        <w:t>1、项目内容：</w:t>
      </w:r>
      <w:bookmarkStart w:id="0" w:name="_Toc289942217"/>
      <w:r>
        <w:rPr>
          <w:rFonts w:hint="eastAsia" w:cs="方正仿宋_GBK" w:asciiTheme="minorEastAsia" w:hAnsiTheme="minorEastAsia" w:eastAsiaTheme="minorEastAsia"/>
          <w:color w:val="000000"/>
          <w:kern w:val="0"/>
          <w:sz w:val="32"/>
          <w:szCs w:val="32"/>
          <w:highlight w:val="white"/>
        </w:rPr>
        <w:t>三峰靖江港务</w:t>
      </w:r>
      <w:r>
        <w:rPr>
          <w:rFonts w:hint="eastAsia" w:cs="方正仿宋_GBK" w:asciiTheme="minorEastAsia" w:hAnsiTheme="minorEastAsia" w:eastAsiaTheme="minorEastAsia"/>
          <w:color w:val="000000"/>
          <w:kern w:val="0"/>
          <w:sz w:val="32"/>
          <w:szCs w:val="32"/>
        </w:rPr>
        <w:t>职工食堂承包项目，</w:t>
      </w:r>
      <w:r>
        <w:rPr>
          <w:rFonts w:hint="eastAsia" w:cs="方正仿宋_GBK" w:asciiTheme="minorEastAsia" w:hAnsiTheme="minorEastAsia" w:eastAsiaTheme="minorEastAsia"/>
          <w:color w:val="000000"/>
          <w:kern w:val="0"/>
          <w:sz w:val="32"/>
          <w:szCs w:val="32"/>
          <w:highlight w:val="white"/>
          <w:lang w:val="zh-CN"/>
        </w:rPr>
        <w:t>服务</w:t>
      </w:r>
      <w:r>
        <w:rPr>
          <w:rFonts w:cs="方正仿宋_GBK" w:asciiTheme="minorEastAsia" w:hAnsiTheme="minorEastAsia" w:eastAsiaTheme="minorEastAsia"/>
          <w:color w:val="000000"/>
          <w:kern w:val="0"/>
          <w:sz w:val="32"/>
          <w:szCs w:val="32"/>
          <w:highlight w:val="white"/>
          <w:lang w:val="zh-CN"/>
        </w:rPr>
        <w:t>期</w:t>
      </w:r>
      <w:r>
        <w:rPr>
          <w:rFonts w:hint="eastAsia" w:cs="方正仿宋_GBK" w:asciiTheme="minorEastAsia" w:hAnsiTheme="minorEastAsia" w:eastAsiaTheme="minorEastAsia"/>
          <w:color w:val="000000"/>
          <w:kern w:val="0"/>
          <w:sz w:val="32"/>
          <w:szCs w:val="32"/>
          <w:lang w:val="zh-CN"/>
        </w:rPr>
        <w:t>二年，</w:t>
      </w:r>
      <w:r>
        <w:rPr>
          <w:rFonts w:hint="eastAsia" w:cs="方正仿宋_GBK" w:asciiTheme="minorEastAsia" w:hAnsiTheme="minorEastAsia" w:eastAsiaTheme="minorEastAsia"/>
          <w:color w:val="000000"/>
          <w:kern w:val="0"/>
          <w:sz w:val="32"/>
          <w:szCs w:val="32"/>
          <w:lang w:val="en-US" w:eastAsia="zh-CN"/>
        </w:rPr>
        <w:t>合同一年一签，招标人根据中标人服务情况决定是否续签</w:t>
      </w:r>
      <w:r>
        <w:rPr>
          <w:rFonts w:hint="eastAsia" w:cs="方正仿宋_GBK" w:asciiTheme="minorEastAsia" w:hAnsiTheme="minorEastAsia" w:eastAsiaTheme="minorEastAsia"/>
          <w:color w:val="000000"/>
          <w:kern w:val="0"/>
          <w:sz w:val="32"/>
          <w:szCs w:val="32"/>
        </w:rPr>
        <w:t>。</w:t>
      </w:r>
    </w:p>
    <w:p>
      <w:pPr>
        <w:widowControl/>
        <w:spacing w:line="360" w:lineRule="auto"/>
        <w:ind w:firstLine="640" w:firstLineChars="200"/>
        <w:rPr>
          <w:rFonts w:cs="方正仿宋_GBK" w:asciiTheme="minorEastAsia" w:hAnsiTheme="minorEastAsia" w:eastAsiaTheme="minorEastAsia"/>
          <w:color w:val="000000"/>
          <w:kern w:val="0"/>
          <w:sz w:val="32"/>
          <w:szCs w:val="32"/>
          <w:highlight w:val="white"/>
          <w:lang w:val="zh-CN"/>
        </w:rPr>
      </w:pPr>
      <w:r>
        <w:rPr>
          <w:rFonts w:hint="eastAsia" w:cs="方正仿宋_GBK" w:asciiTheme="minorEastAsia" w:hAnsiTheme="minorEastAsia" w:eastAsiaTheme="minorEastAsia"/>
          <w:color w:val="000000"/>
          <w:kern w:val="0"/>
          <w:sz w:val="32"/>
          <w:szCs w:val="32"/>
          <w:highlight w:val="white"/>
        </w:rPr>
        <w:t>2</w:t>
      </w:r>
      <w:bookmarkEnd w:id="0"/>
      <w:r>
        <w:rPr>
          <w:rFonts w:hint="eastAsia" w:cs="方正仿宋_GBK" w:asciiTheme="minorEastAsia" w:hAnsiTheme="minorEastAsia" w:eastAsiaTheme="minorEastAsia"/>
          <w:color w:val="000000"/>
          <w:kern w:val="0"/>
          <w:sz w:val="32"/>
          <w:szCs w:val="32"/>
          <w:highlight w:val="white"/>
        </w:rPr>
        <w:t>、</w:t>
      </w:r>
      <w:r>
        <w:rPr>
          <w:rFonts w:hint="eastAsia" w:cs="方正仿宋_GBK" w:asciiTheme="minorEastAsia" w:hAnsiTheme="minorEastAsia" w:eastAsiaTheme="minorEastAsia"/>
          <w:color w:val="000000"/>
          <w:kern w:val="0"/>
          <w:sz w:val="32"/>
          <w:szCs w:val="32"/>
          <w:highlight w:val="white"/>
          <w:lang w:val="zh-CN"/>
        </w:rPr>
        <w:t>项目服务要求</w:t>
      </w:r>
      <w:r>
        <w:rPr>
          <w:rFonts w:hint="eastAsia" w:cs="方正仿宋_GBK" w:asciiTheme="minorEastAsia" w:hAnsiTheme="minorEastAsia" w:eastAsiaTheme="minorEastAsia"/>
          <w:color w:val="000000"/>
          <w:kern w:val="0"/>
          <w:sz w:val="32"/>
          <w:szCs w:val="32"/>
          <w:highlight w:val="white"/>
        </w:rPr>
        <w:t>：</w:t>
      </w:r>
      <w:r>
        <w:rPr>
          <w:rFonts w:hint="eastAsia" w:cs="方正仿宋_GBK" w:asciiTheme="minorEastAsia" w:hAnsiTheme="minorEastAsia" w:eastAsiaTheme="minorEastAsia"/>
          <w:color w:val="000000"/>
          <w:kern w:val="0"/>
          <w:sz w:val="32"/>
          <w:szCs w:val="32"/>
          <w:lang w:val="zh-CN"/>
        </w:rPr>
        <w:t>详见招标文件服务要求附件</w:t>
      </w:r>
      <w:r>
        <w:rPr>
          <w:rFonts w:hint="eastAsia" w:cs="方正仿宋_GBK" w:asciiTheme="minorEastAsia" w:hAnsiTheme="minorEastAsia" w:eastAsiaTheme="minorEastAsia"/>
          <w:color w:val="000000"/>
          <w:kern w:val="0"/>
          <w:sz w:val="32"/>
          <w:szCs w:val="32"/>
          <w:highlight w:val="white"/>
          <w:lang w:val="zh-CN"/>
        </w:rPr>
        <w:t>。</w:t>
      </w:r>
    </w:p>
    <w:p>
      <w:pPr>
        <w:pStyle w:val="2"/>
        <w:spacing w:after="0"/>
        <w:ind w:firstLine="640" w:firstLineChars="200"/>
        <w:rPr>
          <w:rFonts w:cs="方正黑体_GBK" w:asciiTheme="minorEastAsia" w:hAnsiTheme="minorEastAsia" w:eastAsiaTheme="minorEastAsia"/>
          <w:bCs/>
          <w:color w:val="000000"/>
          <w:sz w:val="32"/>
          <w:szCs w:val="32"/>
        </w:rPr>
      </w:pPr>
      <w:r>
        <w:rPr>
          <w:rFonts w:hint="eastAsia" w:cs="方正仿宋_GBK" w:asciiTheme="minorEastAsia" w:hAnsiTheme="minorEastAsia" w:eastAsiaTheme="minorEastAsia"/>
          <w:color w:val="000000"/>
          <w:sz w:val="32"/>
          <w:szCs w:val="32"/>
          <w:highlight w:val="white"/>
        </w:rPr>
        <w:t>二、</w:t>
      </w:r>
      <w:r>
        <w:rPr>
          <w:rFonts w:hint="eastAsia" w:cs="方正黑体_GBK" w:asciiTheme="minorEastAsia" w:hAnsiTheme="minorEastAsia" w:eastAsiaTheme="minorEastAsia"/>
          <w:bCs/>
          <w:color w:val="000000"/>
          <w:sz w:val="32"/>
          <w:szCs w:val="32"/>
          <w:highlight w:val="white"/>
        </w:rPr>
        <w:t>资格要求</w:t>
      </w:r>
    </w:p>
    <w:p>
      <w:pPr>
        <w:pStyle w:val="2"/>
        <w:spacing w:after="0"/>
        <w:ind w:firstLine="640" w:firstLineChars="200"/>
        <w:rPr>
          <w:rFonts w:cs="方正仿宋_GBK" w:asciiTheme="minorEastAsia" w:hAnsiTheme="minorEastAsia" w:eastAsiaTheme="minorEastAsia"/>
          <w:color w:val="000000"/>
          <w:sz w:val="32"/>
          <w:szCs w:val="32"/>
          <w:highlight w:val="white"/>
          <w:lang w:val="zh-CN"/>
        </w:rPr>
      </w:pPr>
      <w:r>
        <w:rPr>
          <w:rFonts w:hint="eastAsia" w:cs="方正黑体_GBK" w:asciiTheme="minorEastAsia" w:hAnsiTheme="minorEastAsia" w:eastAsiaTheme="minorEastAsia"/>
          <w:bCs/>
          <w:color w:val="000000"/>
          <w:sz w:val="32"/>
          <w:szCs w:val="32"/>
        </w:rPr>
        <w:t>1、</w:t>
      </w:r>
      <w:r>
        <w:rPr>
          <w:rFonts w:hint="eastAsia" w:cs="方正仿宋_GBK" w:asciiTheme="minorEastAsia" w:hAnsiTheme="minorEastAsia" w:eastAsiaTheme="minorEastAsia"/>
          <w:color w:val="000000"/>
          <w:sz w:val="32"/>
          <w:szCs w:val="32"/>
          <w:highlight w:val="white"/>
          <w:lang w:val="zh-CN"/>
        </w:rPr>
        <w:t>投标人须具备</w:t>
      </w:r>
      <w:r>
        <w:rPr>
          <w:rFonts w:hint="eastAsia" w:cs="方正仿宋_GBK" w:asciiTheme="minorEastAsia" w:hAnsiTheme="minorEastAsia" w:eastAsiaTheme="minorEastAsia"/>
          <w:color w:val="000000"/>
          <w:sz w:val="32"/>
          <w:szCs w:val="32"/>
          <w:highlight w:val="white"/>
        </w:rPr>
        <w:t>具有独立承担民事责任的能力（提供有效的营业执照副本复印件加盖公章）；</w:t>
      </w:r>
    </w:p>
    <w:p>
      <w:pPr>
        <w:pStyle w:val="2"/>
        <w:ind w:firstLine="640" w:firstLineChars="200"/>
        <w:rPr>
          <w:rFonts w:cs="方正仿宋_GBK" w:asciiTheme="minorEastAsia" w:hAnsiTheme="minorEastAsia" w:eastAsiaTheme="minorEastAsia"/>
          <w:color w:val="000000"/>
          <w:sz w:val="32"/>
          <w:szCs w:val="32"/>
          <w:highlight w:val="white"/>
        </w:rPr>
      </w:pPr>
      <w:r>
        <w:rPr>
          <w:rFonts w:hint="eastAsia" w:cs="方正仿宋_GBK" w:asciiTheme="minorEastAsia" w:hAnsiTheme="minorEastAsia" w:eastAsiaTheme="minorEastAsia"/>
          <w:color w:val="000000"/>
          <w:sz w:val="32"/>
          <w:szCs w:val="32"/>
          <w:highlight w:val="white"/>
          <w:lang w:val="zh-CN"/>
        </w:rPr>
        <w:t>2、</w:t>
      </w:r>
      <w:r>
        <w:rPr>
          <w:rFonts w:hint="eastAsia" w:cs="方正仿宋_GBK" w:asciiTheme="minorEastAsia" w:hAnsiTheme="minorEastAsia" w:eastAsiaTheme="minorEastAsia"/>
          <w:color w:val="000000"/>
          <w:sz w:val="32"/>
          <w:szCs w:val="32"/>
          <w:highlight w:val="white"/>
        </w:rPr>
        <w:t>具备履行合同所必需的设备和专业技术能力的证明材料；（格式详见招标文件附件）</w:t>
      </w:r>
    </w:p>
    <w:p>
      <w:pPr>
        <w:pStyle w:val="2"/>
        <w:ind w:firstLine="640" w:firstLineChars="200"/>
        <w:rPr>
          <w:rFonts w:cs="方正仿宋_GBK" w:asciiTheme="minorEastAsia" w:hAnsiTheme="minorEastAsia" w:eastAsiaTheme="minorEastAsia"/>
          <w:color w:val="000000"/>
          <w:sz w:val="32"/>
          <w:szCs w:val="32"/>
          <w:highlight w:val="white"/>
        </w:rPr>
      </w:pPr>
      <w:r>
        <w:rPr>
          <w:rFonts w:hint="eastAsia" w:cs="方正仿宋_GBK" w:asciiTheme="minorEastAsia" w:hAnsiTheme="minorEastAsia" w:eastAsiaTheme="minorEastAsia"/>
          <w:color w:val="000000"/>
          <w:sz w:val="32"/>
          <w:szCs w:val="32"/>
          <w:highlight w:val="white"/>
        </w:rPr>
        <w:t>3、参加采购活动前3年内在经营活动中没有重大违法记录的书面声明；（格式详见招标文件附件）</w:t>
      </w:r>
    </w:p>
    <w:p>
      <w:pPr>
        <w:widowControl/>
        <w:tabs>
          <w:tab w:val="left" w:pos="6915"/>
        </w:tabs>
        <w:spacing w:line="360" w:lineRule="auto"/>
        <w:ind w:firstLine="640" w:firstLineChars="200"/>
        <w:rPr>
          <w:rFonts w:cs="方正黑体_GBK" w:asciiTheme="minorEastAsia" w:hAnsiTheme="minorEastAsia" w:eastAsiaTheme="minorEastAsia"/>
          <w:bCs/>
          <w:color w:val="000000"/>
          <w:kern w:val="0"/>
          <w:sz w:val="32"/>
          <w:szCs w:val="32"/>
          <w:highlight w:val="white"/>
        </w:rPr>
      </w:pPr>
      <w:r>
        <w:rPr>
          <w:rFonts w:hint="eastAsia" w:cs="方正黑体_GBK" w:asciiTheme="minorEastAsia" w:hAnsiTheme="minorEastAsia" w:eastAsiaTheme="minorEastAsia"/>
          <w:bCs/>
          <w:color w:val="000000"/>
          <w:kern w:val="0"/>
          <w:sz w:val="32"/>
          <w:szCs w:val="32"/>
          <w:highlight w:val="white"/>
        </w:rPr>
        <w:t>三、综合说明</w:t>
      </w:r>
    </w:p>
    <w:p>
      <w:pPr>
        <w:autoSpaceDE w:val="0"/>
        <w:autoSpaceDN w:val="0"/>
        <w:adjustRightInd w:val="0"/>
        <w:spacing w:line="360" w:lineRule="auto"/>
        <w:ind w:firstLine="640" w:firstLineChars="200"/>
        <w:rPr>
          <w:rFonts w:cs="方正仿宋_GBK" w:asciiTheme="minorEastAsia" w:hAnsiTheme="minorEastAsia" w:eastAsiaTheme="minorEastAsia"/>
          <w:color w:val="000000"/>
          <w:kern w:val="0"/>
          <w:sz w:val="32"/>
          <w:szCs w:val="32"/>
          <w:highlight w:val="white"/>
          <w:lang w:val="zh-CN"/>
        </w:rPr>
      </w:pPr>
      <w:r>
        <w:rPr>
          <w:rFonts w:hint="eastAsia" w:cs="方正仿宋_GBK" w:asciiTheme="minorEastAsia" w:hAnsiTheme="minorEastAsia" w:eastAsiaTheme="minorEastAsia"/>
          <w:color w:val="000000"/>
          <w:kern w:val="0"/>
          <w:sz w:val="32"/>
          <w:szCs w:val="32"/>
          <w:highlight w:val="white"/>
          <w:lang w:val="zh-CN"/>
        </w:rPr>
        <w:t>本次评标采用综合评分法。</w:t>
      </w:r>
    </w:p>
    <w:p>
      <w:pPr>
        <w:autoSpaceDE w:val="0"/>
        <w:autoSpaceDN w:val="0"/>
        <w:adjustRightInd w:val="0"/>
        <w:spacing w:line="360" w:lineRule="auto"/>
        <w:ind w:firstLine="640" w:firstLineChars="200"/>
        <w:rPr>
          <w:rFonts w:cs="方正仿宋_GBK" w:asciiTheme="minorEastAsia" w:hAnsiTheme="minorEastAsia" w:eastAsiaTheme="minorEastAsia"/>
          <w:color w:val="000000"/>
          <w:kern w:val="0"/>
          <w:sz w:val="32"/>
          <w:szCs w:val="32"/>
          <w:highlight w:val="white"/>
          <w:lang w:val="zh-CN"/>
        </w:rPr>
      </w:pPr>
      <w:r>
        <w:rPr>
          <w:rFonts w:hint="eastAsia" w:cs="方正仿宋_GBK" w:asciiTheme="minorEastAsia" w:hAnsiTheme="minorEastAsia" w:eastAsiaTheme="minorEastAsia"/>
          <w:color w:val="000000"/>
          <w:kern w:val="0"/>
          <w:sz w:val="32"/>
          <w:szCs w:val="32"/>
          <w:highlight w:val="white"/>
          <w:lang w:val="zh-CN"/>
        </w:rPr>
        <w:t>1.1 计算方法：</w:t>
      </w:r>
    </w:p>
    <w:p>
      <w:pPr>
        <w:autoSpaceDE w:val="0"/>
        <w:autoSpaceDN w:val="0"/>
        <w:adjustRightInd w:val="0"/>
        <w:spacing w:line="360" w:lineRule="auto"/>
        <w:ind w:firstLine="640" w:firstLineChars="200"/>
        <w:rPr>
          <w:rFonts w:cs="方正仿宋_GBK" w:asciiTheme="minorEastAsia" w:hAnsiTheme="minorEastAsia" w:eastAsiaTheme="minorEastAsia"/>
          <w:bCs/>
          <w:color w:val="000000"/>
          <w:kern w:val="0"/>
          <w:sz w:val="32"/>
          <w:szCs w:val="32"/>
          <w:highlight w:val="white"/>
        </w:rPr>
      </w:pPr>
      <w:r>
        <w:rPr>
          <w:rFonts w:hint="eastAsia" w:cs="方正仿宋_GBK" w:asciiTheme="minorEastAsia" w:hAnsiTheme="minorEastAsia" w:eastAsiaTheme="minorEastAsia"/>
          <w:color w:val="000000"/>
          <w:kern w:val="0"/>
          <w:sz w:val="32"/>
          <w:szCs w:val="32"/>
          <w:highlight w:val="white"/>
        </w:rPr>
        <w:t>评标委员会遵循公平、公正、择优原则，独立按照评分标准分别评定投标人的分值；各投标人的评审后得分为各评委所评定分值的平均值，并按高低顺序排列。得分相同的，按投标文件满足招标文件全部实质性要求，且按照评审因素的量化指标评审得分最高的投标人排名第一，为中标单位。</w:t>
      </w:r>
      <w:r>
        <w:rPr>
          <w:rFonts w:hint="eastAsia" w:cs="方正仿宋_GBK" w:asciiTheme="minorEastAsia" w:hAnsiTheme="minorEastAsia" w:eastAsiaTheme="minorEastAsia"/>
          <w:bCs/>
          <w:color w:val="000000"/>
          <w:kern w:val="0"/>
          <w:sz w:val="32"/>
          <w:szCs w:val="32"/>
          <w:highlight w:val="white"/>
        </w:rPr>
        <w:t>如出现评标总得分最高的投标人有两个或两个以上的，由评标委员会横向对比总得分最高的两个或两个以上的投标人的其他情况确定中标候选人。评分标准详见招标文件附件。</w:t>
      </w:r>
    </w:p>
    <w:p>
      <w:pPr>
        <w:autoSpaceDE w:val="0"/>
        <w:autoSpaceDN w:val="0"/>
        <w:adjustRightInd w:val="0"/>
        <w:spacing w:line="360" w:lineRule="auto"/>
        <w:ind w:firstLine="640" w:firstLineChars="200"/>
        <w:rPr>
          <w:rFonts w:cs="方正仿宋_GBK" w:asciiTheme="minorEastAsia" w:hAnsiTheme="minorEastAsia" w:eastAsiaTheme="minorEastAsia"/>
          <w:color w:val="000000"/>
          <w:kern w:val="0"/>
          <w:sz w:val="32"/>
          <w:szCs w:val="32"/>
          <w:highlight w:val="white"/>
          <w:lang w:val="zh-CN"/>
        </w:rPr>
      </w:pPr>
      <w:r>
        <w:rPr>
          <w:rFonts w:hint="eastAsia" w:cs="方正仿宋_GBK" w:asciiTheme="minorEastAsia" w:hAnsiTheme="minorEastAsia" w:eastAsiaTheme="minorEastAsia"/>
          <w:color w:val="000000"/>
          <w:kern w:val="0"/>
          <w:sz w:val="32"/>
          <w:szCs w:val="32"/>
          <w:highlight w:val="white"/>
          <w:lang w:val="zh-CN"/>
        </w:rPr>
        <w:t>1.2 本办法未尽事宜，由评标委员会依据有关规定研究解决并具有最终解释权。</w:t>
      </w:r>
    </w:p>
    <w:p>
      <w:pPr>
        <w:autoSpaceDE w:val="0"/>
        <w:autoSpaceDN w:val="0"/>
        <w:adjustRightInd w:val="0"/>
        <w:spacing w:line="360" w:lineRule="auto"/>
        <w:ind w:firstLine="640" w:firstLineChars="200"/>
        <w:rPr>
          <w:rFonts w:cs="方正黑体_GBK" w:asciiTheme="minorEastAsia" w:hAnsiTheme="minorEastAsia" w:eastAsiaTheme="minorEastAsia"/>
          <w:bCs/>
          <w:sz w:val="32"/>
          <w:szCs w:val="32"/>
          <w:lang w:val="zh-CN"/>
        </w:rPr>
      </w:pPr>
      <w:r>
        <w:rPr>
          <w:rFonts w:hint="eastAsia" w:cs="方正黑体_GBK" w:asciiTheme="minorEastAsia" w:hAnsiTheme="minorEastAsia" w:eastAsiaTheme="minorEastAsia"/>
          <w:bCs/>
          <w:color w:val="000000"/>
          <w:sz w:val="32"/>
          <w:szCs w:val="32"/>
        </w:rPr>
        <w:t>四</w:t>
      </w:r>
      <w:r>
        <w:rPr>
          <w:rFonts w:hint="eastAsia" w:cs="方正黑体_GBK" w:asciiTheme="minorEastAsia" w:hAnsiTheme="minorEastAsia" w:eastAsiaTheme="minorEastAsia"/>
          <w:bCs/>
          <w:sz w:val="32"/>
          <w:szCs w:val="32"/>
        </w:rPr>
        <w:t>、相关</w:t>
      </w:r>
      <w:r>
        <w:rPr>
          <w:rFonts w:hint="eastAsia" w:cs="方正黑体_GBK" w:asciiTheme="minorEastAsia" w:hAnsiTheme="minorEastAsia" w:eastAsiaTheme="minorEastAsia"/>
          <w:bCs/>
          <w:sz w:val="32"/>
          <w:szCs w:val="32"/>
          <w:lang w:val="zh-CN"/>
        </w:rPr>
        <w:t>要求</w:t>
      </w:r>
    </w:p>
    <w:p>
      <w:pPr>
        <w:widowControl/>
        <w:spacing w:line="360" w:lineRule="auto"/>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请贵司于2022年</w:t>
      </w:r>
      <w:r>
        <w:rPr>
          <w:rFonts w:cs="方正仿宋_GBK" w:asciiTheme="minorEastAsia" w:hAnsiTheme="minorEastAsia" w:eastAsiaTheme="minorEastAsia"/>
          <w:sz w:val="32"/>
          <w:szCs w:val="32"/>
        </w:rPr>
        <w:t>1</w:t>
      </w:r>
      <w:r>
        <w:rPr>
          <w:rFonts w:hint="eastAsia" w:cs="方正仿宋_GBK" w:asciiTheme="minorEastAsia" w:hAnsiTheme="minorEastAsia" w:eastAsiaTheme="minorEastAsia"/>
          <w:sz w:val="32"/>
          <w:szCs w:val="32"/>
        </w:rPr>
        <w:t>1月</w:t>
      </w:r>
      <w:r>
        <w:rPr>
          <w:rFonts w:hint="eastAsia" w:cs="方正仿宋_GBK" w:asciiTheme="minorEastAsia" w:hAnsiTheme="minorEastAsia" w:eastAsiaTheme="minorEastAsia"/>
          <w:sz w:val="32"/>
          <w:szCs w:val="32"/>
          <w:lang w:val="en-US" w:eastAsia="zh-CN"/>
        </w:rPr>
        <w:t>30</w:t>
      </w:r>
      <w:r>
        <w:rPr>
          <w:rFonts w:hint="eastAsia" w:cs="方正仿宋_GBK" w:asciiTheme="minorEastAsia" w:hAnsiTheme="minorEastAsia" w:eastAsiaTheme="minorEastAsia"/>
          <w:sz w:val="32"/>
          <w:szCs w:val="32"/>
        </w:rPr>
        <w:t>日下午14时30分前将投标文件（壹正贰副），送至三峰靖江港务物流有限责任公司五楼会议室。</w:t>
      </w:r>
    </w:p>
    <w:p>
      <w:pPr>
        <w:widowControl/>
        <w:spacing w:line="360" w:lineRule="auto"/>
        <w:ind w:firstLine="640" w:firstLineChars="200"/>
        <w:rPr>
          <w:rFonts w:hint="eastAsia"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本项目委托代理机构为</w:t>
      </w:r>
      <w:r>
        <w:rPr>
          <w:rFonts w:cs="方正仿宋_GBK" w:asciiTheme="minorEastAsia" w:hAnsiTheme="minorEastAsia" w:eastAsiaTheme="minorEastAsia"/>
          <w:sz w:val="32"/>
          <w:szCs w:val="32"/>
        </w:rPr>
        <w:t>泰州市皓德工程管理有限公司</w:t>
      </w:r>
      <w:r>
        <w:rPr>
          <w:rFonts w:hint="eastAsia" w:cs="方正仿宋_GBK" w:asciiTheme="minorEastAsia" w:hAnsiTheme="minorEastAsia" w:eastAsiaTheme="minorEastAsia"/>
          <w:sz w:val="32"/>
          <w:szCs w:val="32"/>
        </w:rPr>
        <w:t>，中标人在领取中标通知书时需向代理机构缴纳代理费、评委费（如有）。本次招标代理费为人民币12000元，评标费根据开标实际情况结算。如需二次招标，所产生的费用按实际发生情况结算。</w:t>
      </w:r>
    </w:p>
    <w:p>
      <w:pPr>
        <w:pStyle w:val="2"/>
        <w:rPr>
          <w:rFonts w:cs="方正黑体_GBK" w:asciiTheme="minorEastAsia" w:hAnsiTheme="minorEastAsia" w:eastAsiaTheme="minorEastAsia"/>
          <w:bCs/>
          <w:kern w:val="2"/>
          <w:sz w:val="32"/>
          <w:szCs w:val="32"/>
        </w:rPr>
      </w:pPr>
      <w:r>
        <w:rPr>
          <w:rFonts w:hint="eastAsia" w:cs="方正黑体_GBK" w:asciiTheme="minorEastAsia" w:hAnsiTheme="minorEastAsia" w:eastAsiaTheme="minorEastAsia"/>
          <w:bCs/>
          <w:kern w:val="2"/>
          <w:sz w:val="32"/>
          <w:szCs w:val="32"/>
        </w:rPr>
        <w:t>五、</w:t>
      </w:r>
      <w:r>
        <w:rPr>
          <w:rFonts w:cs="方正黑体_GBK" w:asciiTheme="minorEastAsia" w:hAnsiTheme="minorEastAsia" w:eastAsiaTheme="minorEastAsia"/>
          <w:bCs/>
          <w:kern w:val="2"/>
          <w:sz w:val="32"/>
          <w:szCs w:val="32"/>
        </w:rPr>
        <w:t>保证金要求</w:t>
      </w:r>
    </w:p>
    <w:p>
      <w:pPr>
        <w:pStyle w:val="2"/>
        <w:rPr>
          <w:rFonts w:cs="方正仿宋_GBK" w:asciiTheme="minorEastAsia" w:hAnsiTheme="minorEastAsia" w:eastAsiaTheme="minorEastAsia"/>
          <w:kern w:val="2"/>
          <w:sz w:val="32"/>
          <w:szCs w:val="32"/>
        </w:rPr>
      </w:pPr>
      <w:r>
        <w:rPr>
          <w:rFonts w:hint="eastAsia" w:cs="方正仿宋_GBK" w:asciiTheme="minorEastAsia" w:hAnsiTheme="minorEastAsia" w:eastAsiaTheme="minorEastAsia"/>
          <w:kern w:val="2"/>
          <w:sz w:val="32"/>
          <w:szCs w:val="32"/>
        </w:rPr>
        <w:t xml:space="preserve">本项目需递交投标保证金：投标保证金为人民币 </w:t>
      </w:r>
      <w:r>
        <w:rPr>
          <w:rFonts w:hint="eastAsia" w:cs="方正仿宋_GBK" w:asciiTheme="minorEastAsia" w:hAnsiTheme="minorEastAsia" w:eastAsiaTheme="minorEastAsia"/>
          <w:kern w:val="2"/>
          <w:sz w:val="32"/>
          <w:szCs w:val="32"/>
          <w:u w:val="single"/>
        </w:rPr>
        <w:t>壹万伍仟元</w:t>
      </w:r>
      <w:r>
        <w:rPr>
          <w:rFonts w:hint="eastAsia" w:cs="方正仿宋_GBK" w:asciiTheme="minorEastAsia" w:hAnsiTheme="minorEastAsia" w:eastAsiaTheme="minorEastAsia"/>
          <w:kern w:val="2"/>
          <w:sz w:val="32"/>
          <w:szCs w:val="32"/>
        </w:rPr>
        <w:t>（人民币，不计利息，不收现金）。请各供应商必须在投标截止时间（到帐时间）之前，以电汇或网银转帐形式，从其基本账户汇至以下账户，逾期到达或未从基本账户汇出或未汇到指定子帐号的投标保证金供应商，其投标将被否决。</w:t>
      </w:r>
    </w:p>
    <w:p>
      <w:pPr>
        <w:pStyle w:val="2"/>
        <w:rPr>
          <w:rFonts w:cs="方正仿宋_GBK" w:asciiTheme="minorEastAsia" w:hAnsiTheme="minorEastAsia" w:eastAsiaTheme="minorEastAsia"/>
          <w:kern w:val="2"/>
          <w:sz w:val="32"/>
          <w:szCs w:val="32"/>
        </w:rPr>
      </w:pPr>
      <w:r>
        <w:rPr>
          <w:rFonts w:hint="eastAsia" w:cs="方正仿宋_GBK" w:asciiTheme="minorEastAsia" w:hAnsiTheme="minorEastAsia" w:eastAsiaTheme="minorEastAsia"/>
          <w:kern w:val="2"/>
          <w:sz w:val="32"/>
          <w:szCs w:val="32"/>
        </w:rPr>
        <w:t>收款单位：三峰靖江港务物流有限责任公司</w:t>
      </w:r>
    </w:p>
    <w:p>
      <w:pPr>
        <w:pStyle w:val="2"/>
        <w:rPr>
          <w:rFonts w:cs="方正仿宋_GBK" w:asciiTheme="minorEastAsia" w:hAnsiTheme="minorEastAsia" w:eastAsiaTheme="minorEastAsia"/>
          <w:kern w:val="2"/>
          <w:sz w:val="32"/>
          <w:szCs w:val="32"/>
        </w:rPr>
      </w:pPr>
      <w:r>
        <w:rPr>
          <w:rFonts w:hint="eastAsia" w:cs="方正仿宋_GBK" w:asciiTheme="minorEastAsia" w:hAnsiTheme="minorEastAsia" w:eastAsiaTheme="minorEastAsia"/>
          <w:kern w:val="2"/>
          <w:sz w:val="32"/>
          <w:szCs w:val="32"/>
        </w:rPr>
        <w:t>开户行：农行靖江西来支行</w:t>
      </w:r>
    </w:p>
    <w:p>
      <w:pPr>
        <w:pStyle w:val="2"/>
        <w:rPr>
          <w:rFonts w:hint="default" w:eastAsiaTheme="minorEastAsia"/>
          <w:lang w:val="en-US" w:eastAsia="zh-CN"/>
        </w:rPr>
      </w:pPr>
      <w:r>
        <w:rPr>
          <w:rFonts w:hint="eastAsia" w:cs="方正仿宋_GBK" w:asciiTheme="minorEastAsia" w:hAnsiTheme="minorEastAsia" w:eastAsiaTheme="minorEastAsia"/>
          <w:kern w:val="2"/>
          <w:sz w:val="32"/>
          <w:szCs w:val="32"/>
        </w:rPr>
        <w:t>帐 号：</w:t>
      </w:r>
      <w:r>
        <w:rPr>
          <w:rFonts w:hint="eastAsia" w:cs="方正仿宋_GBK" w:asciiTheme="minorEastAsia" w:hAnsiTheme="minorEastAsia" w:eastAsiaTheme="minorEastAsia"/>
          <w:kern w:val="2"/>
          <w:sz w:val="32"/>
          <w:szCs w:val="32"/>
          <w:lang w:val="en-US" w:eastAsia="zh-CN"/>
        </w:rPr>
        <w:t>10220101040009789</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六、投标文件组成</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1、企业法人营业执照复印件</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2、资格要求相关证明材料（格式详见招标文件附件）</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3、投标函（格式详见招标文件附件）</w:t>
      </w:r>
    </w:p>
    <w:p>
      <w:pPr>
        <w:pStyle w:val="2"/>
        <w:ind w:firstLine="640" w:firstLineChars="200"/>
        <w:rPr>
          <w:rFonts w:cs="方正仿宋_GBK" w:asciiTheme="minorEastAsia" w:hAnsiTheme="minorEastAsia" w:eastAsiaTheme="minorEastAsia"/>
          <w:color w:val="000000"/>
          <w:kern w:val="2"/>
          <w:sz w:val="32"/>
          <w:szCs w:val="32"/>
        </w:rPr>
      </w:pPr>
      <w:r>
        <w:rPr>
          <w:rFonts w:cs="方正仿宋_GBK" w:asciiTheme="minorEastAsia" w:hAnsiTheme="minorEastAsia" w:eastAsiaTheme="minorEastAsia"/>
          <w:color w:val="000000"/>
          <w:kern w:val="2"/>
          <w:sz w:val="32"/>
          <w:szCs w:val="32"/>
        </w:rPr>
        <w:t>4</w:t>
      </w:r>
      <w:r>
        <w:rPr>
          <w:rFonts w:hint="eastAsia" w:cs="方正仿宋_GBK" w:asciiTheme="minorEastAsia" w:hAnsiTheme="minorEastAsia" w:eastAsiaTheme="minorEastAsia"/>
          <w:color w:val="000000"/>
          <w:kern w:val="2"/>
          <w:sz w:val="32"/>
          <w:szCs w:val="32"/>
        </w:rPr>
        <w:t>、法定代表人授权委托书（格式详见招标文件附件）</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5、服务应答承诺书（格式详见招标文件附件）</w:t>
      </w:r>
    </w:p>
    <w:p>
      <w:pPr>
        <w:pStyle w:val="2"/>
        <w:ind w:firstLine="640" w:firstLineChars="200"/>
        <w:rPr>
          <w:rFonts w:cs="方正仿宋_GBK" w:asciiTheme="minorEastAsia" w:hAnsiTheme="minorEastAsia" w:eastAsiaTheme="minorEastAsia"/>
          <w:color w:val="000000"/>
          <w:kern w:val="2"/>
          <w:sz w:val="32"/>
          <w:szCs w:val="32"/>
        </w:rPr>
      </w:pPr>
      <w:r>
        <w:rPr>
          <w:rFonts w:hint="eastAsia" w:cs="方正仿宋_GBK" w:asciiTheme="minorEastAsia" w:hAnsiTheme="minorEastAsia" w:eastAsiaTheme="minorEastAsia"/>
          <w:color w:val="000000"/>
          <w:kern w:val="2"/>
          <w:sz w:val="32"/>
          <w:szCs w:val="32"/>
        </w:rPr>
        <w:t>6、评分标准中商务部分、技术部分（格式自拟）</w:t>
      </w:r>
    </w:p>
    <w:p>
      <w:pPr>
        <w:widowControl/>
        <w:tabs>
          <w:tab w:val="left" w:pos="6915"/>
        </w:tabs>
        <w:spacing w:line="360" w:lineRule="auto"/>
        <w:ind w:firstLine="640" w:firstLineChars="200"/>
        <w:rPr>
          <w:rFonts w:cs="方正黑体_GBK" w:asciiTheme="minorEastAsia" w:hAnsiTheme="minorEastAsia" w:eastAsiaTheme="minorEastAsia"/>
          <w:bCs/>
          <w:kern w:val="0"/>
          <w:sz w:val="32"/>
          <w:szCs w:val="32"/>
          <w:highlight w:val="white"/>
        </w:rPr>
      </w:pPr>
      <w:r>
        <w:rPr>
          <w:rFonts w:hint="eastAsia" w:cs="方正黑体_GBK" w:asciiTheme="minorEastAsia" w:hAnsiTheme="minorEastAsia" w:eastAsiaTheme="minorEastAsia"/>
          <w:bCs/>
          <w:kern w:val="0"/>
          <w:sz w:val="32"/>
          <w:szCs w:val="32"/>
          <w:highlight w:val="white"/>
        </w:rPr>
        <w:t>五、联系方式</w:t>
      </w:r>
    </w:p>
    <w:p>
      <w:pPr>
        <w:widowControl/>
        <w:spacing w:line="360" w:lineRule="auto"/>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招标人：</w:t>
      </w:r>
      <w:r>
        <w:rPr>
          <w:rFonts w:hint="eastAsia" w:cs="方正仿宋_GBK" w:asciiTheme="minorEastAsia" w:hAnsiTheme="minorEastAsia" w:eastAsiaTheme="minorEastAsia"/>
          <w:sz w:val="32"/>
          <w:szCs w:val="32"/>
          <w:lang w:val="zh-CN"/>
        </w:rPr>
        <w:t>三峰靖江港务物流有限责任公司</w:t>
      </w:r>
    </w:p>
    <w:p>
      <w:pPr>
        <w:widowControl/>
        <w:spacing w:line="360" w:lineRule="auto"/>
        <w:ind w:firstLine="640" w:firstLineChars="200"/>
        <w:rPr>
          <w:rFonts w:cs="方正仿宋_GBK" w:asciiTheme="minorEastAsia" w:hAnsiTheme="minorEastAsia" w:eastAsiaTheme="minorEastAsia"/>
          <w:sz w:val="32"/>
          <w:szCs w:val="32"/>
          <w:lang w:val="zh-CN"/>
        </w:rPr>
      </w:pPr>
      <w:r>
        <w:rPr>
          <w:rFonts w:hint="eastAsia" w:cs="方正仿宋_GBK" w:asciiTheme="minorEastAsia" w:hAnsiTheme="minorEastAsia" w:eastAsiaTheme="minorEastAsia"/>
          <w:sz w:val="32"/>
          <w:szCs w:val="32"/>
        </w:rPr>
        <w:t>地  址：</w:t>
      </w:r>
      <w:r>
        <w:rPr>
          <w:rFonts w:hint="eastAsia" w:cs="方正仿宋_GBK" w:asciiTheme="minorEastAsia" w:hAnsiTheme="minorEastAsia" w:eastAsiaTheme="minorEastAsia"/>
          <w:sz w:val="32"/>
          <w:szCs w:val="32"/>
          <w:lang w:val="zh-CN"/>
        </w:rPr>
        <w:t>靖江市西来镇丰产村通江路</w:t>
      </w:r>
      <w:r>
        <w:rPr>
          <w:rFonts w:hint="eastAsia" w:cs="方正仿宋_GBK" w:asciiTheme="minorEastAsia" w:hAnsiTheme="minorEastAsia" w:eastAsiaTheme="minorEastAsia"/>
          <w:sz w:val="32"/>
          <w:szCs w:val="32"/>
        </w:rPr>
        <w:t>2</w:t>
      </w:r>
      <w:r>
        <w:rPr>
          <w:rFonts w:hint="eastAsia" w:cs="方正仿宋_GBK" w:asciiTheme="minorEastAsia" w:hAnsiTheme="minorEastAsia" w:eastAsiaTheme="minorEastAsia"/>
          <w:sz w:val="32"/>
          <w:szCs w:val="32"/>
          <w:lang w:val="zh-CN"/>
        </w:rPr>
        <w:t>号</w:t>
      </w:r>
    </w:p>
    <w:p>
      <w:pPr>
        <w:widowControl/>
        <w:spacing w:line="360" w:lineRule="auto"/>
        <w:ind w:firstLine="640" w:firstLineChars="200"/>
        <w:rPr>
          <w:rFonts w:cs="方正仿宋_GBK" w:asciiTheme="minorEastAsia" w:hAnsiTheme="minorEastAsia" w:eastAsiaTheme="minorEastAsia"/>
          <w:sz w:val="32"/>
          <w:szCs w:val="32"/>
        </w:rPr>
      </w:pPr>
      <w:r>
        <w:rPr>
          <w:rFonts w:hint="eastAsia" w:cs="方正仿宋_GBK" w:asciiTheme="minorEastAsia" w:hAnsiTheme="minorEastAsia" w:eastAsiaTheme="minorEastAsia"/>
          <w:sz w:val="32"/>
          <w:szCs w:val="32"/>
        </w:rPr>
        <w:t>联系人：</w:t>
      </w:r>
      <w:r>
        <w:rPr>
          <w:rFonts w:hint="eastAsia" w:cs="方正仿宋_GBK" w:asciiTheme="minorEastAsia" w:hAnsiTheme="minorEastAsia" w:eastAsiaTheme="minorEastAsia"/>
          <w:sz w:val="32"/>
          <w:szCs w:val="32"/>
          <w:lang w:val="zh-CN"/>
        </w:rPr>
        <w:t>胡先生</w:t>
      </w:r>
    </w:p>
    <w:p>
      <w:pPr>
        <w:widowControl/>
        <w:spacing w:line="360" w:lineRule="auto"/>
        <w:ind w:firstLine="640" w:firstLineChars="200"/>
        <w:rPr>
          <w:rFonts w:cs="方正仿宋_GBK" w:asciiTheme="minorEastAsia" w:hAnsiTheme="minorEastAsia" w:eastAsiaTheme="minorEastAsia"/>
          <w:sz w:val="32"/>
          <w:szCs w:val="32"/>
          <w:lang w:val="zh-CN"/>
        </w:rPr>
      </w:pPr>
      <w:r>
        <w:rPr>
          <w:rFonts w:hint="eastAsia" w:cs="方正仿宋_GBK" w:asciiTheme="minorEastAsia" w:hAnsiTheme="minorEastAsia" w:eastAsiaTheme="minorEastAsia"/>
          <w:sz w:val="32"/>
          <w:szCs w:val="32"/>
        </w:rPr>
        <w:t>电  话：</w:t>
      </w:r>
      <w:r>
        <w:rPr>
          <w:rFonts w:hint="eastAsia" w:cs="方正仿宋_GBK" w:asciiTheme="minorEastAsia" w:hAnsiTheme="minorEastAsia" w:eastAsiaTheme="minorEastAsia"/>
          <w:sz w:val="32"/>
          <w:szCs w:val="32"/>
          <w:lang w:val="zh-CN"/>
        </w:rPr>
        <w:t>0523-8</w:t>
      </w:r>
      <w:r>
        <w:rPr>
          <w:rFonts w:hint="eastAsia" w:cs="方正仿宋_GBK" w:asciiTheme="minorEastAsia" w:hAnsiTheme="minorEastAsia" w:eastAsiaTheme="minorEastAsia"/>
          <w:sz w:val="32"/>
          <w:szCs w:val="32"/>
        </w:rPr>
        <w:t>0238350</w:t>
      </w:r>
    </w:p>
    <w:p>
      <w:pPr>
        <w:tabs>
          <w:tab w:val="left" w:pos="6915"/>
        </w:tabs>
        <w:spacing w:line="360" w:lineRule="auto"/>
        <w:ind w:firstLine="6080" w:firstLineChars="1900"/>
        <w:rPr>
          <w:rFonts w:cs="方正仿宋_GBK" w:asciiTheme="minorEastAsia" w:hAnsiTheme="minorEastAsia" w:eastAsiaTheme="minorEastAsia"/>
          <w:kern w:val="0"/>
          <w:sz w:val="32"/>
          <w:szCs w:val="32"/>
          <w:highlight w:val="white"/>
        </w:rPr>
      </w:pPr>
    </w:p>
    <w:p>
      <w:pPr>
        <w:tabs>
          <w:tab w:val="left" w:pos="6915"/>
        </w:tabs>
        <w:spacing w:line="360" w:lineRule="auto"/>
        <w:ind w:firstLine="6080" w:firstLineChars="1900"/>
        <w:rPr>
          <w:rFonts w:cs="方正仿宋_GBK" w:asciiTheme="minorEastAsia" w:hAnsiTheme="minorEastAsia" w:eastAsiaTheme="minorEastAsia"/>
          <w:kern w:val="0"/>
          <w:sz w:val="32"/>
          <w:szCs w:val="32"/>
          <w:highlight w:val="white"/>
        </w:rPr>
      </w:pPr>
    </w:p>
    <w:p>
      <w:pPr>
        <w:tabs>
          <w:tab w:val="left" w:pos="6915"/>
        </w:tabs>
        <w:spacing w:line="360" w:lineRule="auto"/>
        <w:ind w:firstLine="2880" w:firstLineChars="900"/>
        <w:rPr>
          <w:rFonts w:cs="方正仿宋_GBK" w:asciiTheme="minorEastAsia" w:hAnsiTheme="minorEastAsia" w:eastAsiaTheme="minorEastAsia"/>
          <w:kern w:val="0"/>
          <w:sz w:val="32"/>
          <w:szCs w:val="32"/>
          <w:highlight w:val="white"/>
        </w:rPr>
      </w:pPr>
      <w:r>
        <w:rPr>
          <w:rFonts w:hint="eastAsia" w:cs="方正仿宋_GBK" w:asciiTheme="minorEastAsia" w:hAnsiTheme="minorEastAsia" w:eastAsiaTheme="minorEastAsia"/>
          <w:kern w:val="0"/>
          <w:sz w:val="32"/>
          <w:szCs w:val="32"/>
          <w:highlight w:val="white"/>
        </w:rPr>
        <w:t>三峰靖江港务物流有限责任公司</w:t>
      </w:r>
    </w:p>
    <w:p>
      <w:pPr>
        <w:tabs>
          <w:tab w:val="left" w:pos="6915"/>
        </w:tabs>
        <w:spacing w:line="360" w:lineRule="auto"/>
        <w:ind w:firstLine="4160" w:firstLineChars="1300"/>
        <w:rPr>
          <w:rFonts w:cs="方正仿宋_GBK" w:asciiTheme="minorEastAsia" w:hAnsiTheme="minorEastAsia" w:eastAsiaTheme="minorEastAsia"/>
          <w:kern w:val="0"/>
          <w:sz w:val="32"/>
          <w:szCs w:val="32"/>
        </w:rPr>
      </w:pPr>
      <w:r>
        <w:rPr>
          <w:rFonts w:hint="eastAsia" w:cs="方正仿宋_GBK" w:asciiTheme="minorEastAsia" w:hAnsiTheme="minorEastAsia" w:eastAsiaTheme="minorEastAsia"/>
          <w:kern w:val="0"/>
          <w:sz w:val="32"/>
          <w:szCs w:val="32"/>
          <w:highlight w:val="white"/>
          <w:lang w:eastAsia="zh-CN"/>
        </w:rPr>
        <w:t>2022年11月23</w:t>
      </w:r>
      <w:r>
        <w:rPr>
          <w:rFonts w:hint="eastAsia" w:cs="方正仿宋_GBK" w:asciiTheme="minorEastAsia" w:hAnsiTheme="minorEastAsia" w:eastAsiaTheme="minorEastAsia"/>
          <w:kern w:val="0"/>
          <w:sz w:val="32"/>
          <w:szCs w:val="32"/>
          <w:highlight w:val="white"/>
        </w:rPr>
        <w:t>日</w:t>
      </w:r>
      <w:bookmarkStart w:id="1" w:name="_GoBack"/>
      <w:bookmarkEnd w:id="1"/>
    </w:p>
    <w:p>
      <w:pPr>
        <w:pStyle w:val="2"/>
      </w:pPr>
    </w:p>
    <w:p>
      <w:pPr>
        <w:pStyle w:val="2"/>
      </w:pPr>
    </w:p>
    <w:p>
      <w:pPr>
        <w:pStyle w:val="2"/>
        <w:ind w:firstLine="0"/>
      </w:pPr>
    </w:p>
    <w:p>
      <w:pPr>
        <w:pStyle w:val="2"/>
        <w:ind w:firstLine="0"/>
        <w:rPr>
          <w:rFonts w:hint="eastAsia"/>
        </w:rPr>
      </w:pPr>
    </w:p>
    <w:p>
      <w:pPr>
        <w:pStyle w:val="2"/>
        <w:ind w:firstLine="0"/>
      </w:pPr>
    </w:p>
    <w:p>
      <w:pPr>
        <w:pStyle w:val="2"/>
        <w:ind w:firstLine="0"/>
        <w:rPr>
          <w:sz w:val="36"/>
          <w:szCs w:val="36"/>
        </w:rPr>
      </w:pPr>
      <w:r>
        <w:rPr>
          <w:rFonts w:hint="eastAsia"/>
          <w:sz w:val="36"/>
          <w:szCs w:val="36"/>
        </w:rPr>
        <w:t>服务要求附件</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一）招标方提供厨房、炊具、餐厅、工作台、桌椅等非消耗性设备器材交由中标餐企使用，协议期满后中标餐企应按原有物品交还招标方（报损除外）。协议期内固定资产大型维修、保养清洁由招标方负责。餐盘、汤桶、饭桶、汤碗、筷子等职工就餐工具由中标方负责及时补充。 </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（二）、招标方供应厨房所需水、电，电费中标餐企自理。中标餐企应注意节约能源，遵守招标方相关管理规定。 </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（三）、中标餐企根据国家相关规定办理职工餐厅相关证件。 </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（四）、中标餐企根据招标方需求合理派驻项目团队，采购食材，按照与招标方约定的时间、标准供应工作餐。 </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五）、中标餐企应建立正确的设备使用、操作、检查流程，督促操作人员正确、熟练地使用相关设备并做好检查记录。协议期间如因操作不慎、管理不善、检查保养缺失或人为破坏等因素导致设备丢失、损坏或引起责任事故的，中标餐企应承担相应的责任。</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（六）、中标餐企根据甲方消防、规章制度、治安等规定做好相应管理工作。水、电、气等使用完毕后应确认处于关闭状态并有专人管理，做好每日检查记录。 </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（七）、中标餐企不得随意更改或增设甲方原有固定设施及环境布置。若确需更改，应征得招标方同意后方可实施</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（八）、中标餐企应尽的义务和责任：</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1、保证食堂经营管理过程中的操作安全及饮食安全，严格执行国家相关法律法规，建立健全各项规章制度；</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2、中标餐企实行经理现场负责制，专项负责食堂现场管理及与甲方沟通联系，定期征询意见，从营养、口味、份量、是否用足餐标、服务等方面进行综合考评；</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3、中标餐企建立餐、厨具正确操作、检查流程并做好检查记录。因中标餐企操作不慎、管理不善、检查保养缺失或人为破坏等因素导致设备丢失、损坏或引起责任事故的，中标餐企承担全部责任并赔偿或维修；</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4、中标餐企经营期限内，食堂操作间、就餐厅清洁卫生及下水道清理由中标餐企负责。应在规定的时间范围内准时开餐，并确保职工不论就餐先后顺序均能吃到热饭热菜；</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5、按餐标足额供应早、中、晚三餐，餐费中包含各类菜品、米、面、油、调料等全部费用；</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6、主副食材可溯源，达到绿色、生态、健康的标准，米、油、面、调味品的品牌经招标方同意后方可使用；</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7、供餐方案，中标餐企根据适时定餐人数为职工提供早餐6元/人、中餐17元/人、晚餐15</w:t>
      </w:r>
      <w:r>
        <w:rPr>
          <w:rFonts w:hint="eastAsia" w:cs="方正仿宋_GBK" w:asciiTheme="minorEastAsia" w:hAnsiTheme="minorEastAsia" w:eastAsiaTheme="minorEastAsia"/>
          <w:color w:val="000000"/>
          <w:sz w:val="32"/>
          <w:szCs w:val="32"/>
          <w:lang w:val="en-US" w:eastAsia="zh-CN"/>
        </w:rPr>
        <w:t>元</w:t>
      </w:r>
      <w:r>
        <w:rPr>
          <w:rFonts w:hint="eastAsia" w:cs="方正仿宋_GBK" w:asciiTheme="minorEastAsia" w:hAnsiTheme="minorEastAsia" w:eastAsiaTheme="minorEastAsia"/>
          <w:color w:val="000000"/>
          <w:sz w:val="32"/>
          <w:szCs w:val="32"/>
        </w:rPr>
        <w:t>/人的就餐服务，每周四前编排好下周菜谱供招标方确认，要求每周周一至周日、中餐与晚餐菜品不重样，且增加菜品的选择和风味，每天午餐每人每餐派发水果一份；</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8、做好应急预案，做到不因不限于停水、停电、停气等原因，确保工作餐的正常供应。</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9、中标餐企只能自营本项目，严禁超范围经营，严禁以任何形式转包或委托他人经营，更不能利用甲方资产搞不法经营，一经发现查实，本单位可立即停止其承包资格，停止其营业，没收全部履约保证金。并视情况追究其经济责任和法律责任。</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10、中标餐企物品的保管、防火、防盗等工作由中标餐企自己负责。</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11、中标餐企在经营期间的有关税、证件办理、人员工资等一切费用均由中标餐企自行承担。人员用工需符合国家有关规定。经营期间，中标餐企所发生的所有债务，由其自行承担，与甲方无关。</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12、中标餐企须在办妥所有从业人员健康证后方可开业经营。</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13、中标餐企可根据经营需要对经营场所进行适当的简单装修，在装修前应将装修方案事先征得甲方同意，不得改变房屋结构，所需费用中标餐企自理，合同期满后，无条件撤场，不得影响下一轮招标。</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14、中标餐企在合同签订需向甲方交纳1万元保证金。经营期间如出现食品安全、生产安全等任何问题，给甲方声誉、固定资产或职工健康造成损害的，或理应由中标餐企承担的其他损害责任，则甲方可以先从履约保证金中扣留，不足的，中标餐企应在合同规定期限内补足。造成特别严重的后果甲方有权单方面中止合同并追究相应的经济责任和法律责任。</w:t>
      </w:r>
    </w:p>
    <w:p>
      <w:pPr>
        <w:pStyle w:val="2"/>
        <w:ind w:firstLine="0"/>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15、每餐均要封存当餐食物一份（保留时间为48小时）以备查。若甲方员工因就餐出现食物中毒时，负责及时送医院就诊，并积极协助有关部门调查中毒原因。若经卫生部门查证由供餐原因造成的，承担由此引起的误工、医疗等全部费用；若发生重大中毒事故，应承担相应的法律责任；甲方将视情节轻重要求赔偿损失，并有权决定终止协议。</w:t>
      </w:r>
    </w:p>
    <w:p>
      <w:pPr>
        <w:pStyle w:val="2"/>
        <w:ind w:firstLine="0"/>
        <w:rPr>
          <w:rFonts w:hint="eastAsia"/>
          <w:b/>
          <w:sz w:val="36"/>
          <w:szCs w:val="36"/>
        </w:rPr>
      </w:pPr>
    </w:p>
    <w:p>
      <w:pPr>
        <w:pStyle w:val="2"/>
        <w:ind w:firstLine="0"/>
        <w:rPr>
          <w:b/>
          <w:sz w:val="36"/>
          <w:szCs w:val="36"/>
        </w:rPr>
      </w:pPr>
      <w:r>
        <w:rPr>
          <w:rFonts w:hint="eastAsia"/>
          <w:b/>
          <w:sz w:val="36"/>
          <w:szCs w:val="36"/>
        </w:rPr>
        <w:t>试用期</w:t>
      </w:r>
    </w:p>
    <w:p>
      <w:pPr>
        <w:pStyle w:val="2"/>
        <w:rPr>
          <w:rFonts w:cs="方正仿宋_GBK" w:asciiTheme="minorEastAsia" w:hAnsiTheme="minorEastAsia" w:eastAsiaTheme="minorEastAsia"/>
          <w:color w:val="000000"/>
          <w:sz w:val="32"/>
          <w:szCs w:val="32"/>
        </w:rPr>
      </w:pPr>
      <w:r>
        <w:rPr>
          <w:rFonts w:hint="eastAsia" w:cs="方正仿宋_GBK" w:asciiTheme="minorEastAsia" w:hAnsiTheme="minorEastAsia" w:eastAsiaTheme="minorEastAsia"/>
          <w:color w:val="000000"/>
          <w:sz w:val="32"/>
          <w:szCs w:val="32"/>
        </w:rPr>
        <w:t xml:space="preserve">  预中标单位在被确定后有试用限段（试用期为三个月），在试用期间该单位所提供的服务能达到招标文件规定的标准和承诺，采购单位和预中标单位签订正式合同，在此期间若预中标单位所提供服务未能达到招标文件规定的标准或其投标承诺，则采购单位将确定排位在该中标人之后第一位的中标候选人为中标人。试用期自试用合同签定生效之日起开始计算。</w:t>
      </w:r>
    </w:p>
    <w:p>
      <w:pPr>
        <w:pStyle w:val="2"/>
        <w:ind w:firstLine="0"/>
        <w:rPr>
          <w:sz w:val="36"/>
          <w:szCs w:val="36"/>
        </w:rPr>
      </w:pPr>
    </w:p>
    <w:p>
      <w:pPr>
        <w:pStyle w:val="2"/>
        <w:ind w:firstLine="0"/>
        <w:rPr>
          <w:sz w:val="36"/>
          <w:szCs w:val="36"/>
        </w:rPr>
      </w:pPr>
    </w:p>
    <w:p>
      <w:pPr>
        <w:pStyle w:val="2"/>
        <w:ind w:firstLine="0"/>
        <w:rPr>
          <w:sz w:val="36"/>
          <w:szCs w:val="36"/>
        </w:rPr>
      </w:pPr>
    </w:p>
    <w:p>
      <w:pPr>
        <w:pStyle w:val="2"/>
        <w:ind w:firstLine="0"/>
        <w:rPr>
          <w:sz w:val="36"/>
          <w:szCs w:val="36"/>
        </w:rPr>
      </w:pPr>
    </w:p>
    <w:p>
      <w:pPr>
        <w:pStyle w:val="2"/>
        <w:ind w:firstLine="0"/>
        <w:rPr>
          <w:sz w:val="36"/>
          <w:szCs w:val="36"/>
        </w:rPr>
      </w:pPr>
    </w:p>
    <w:p>
      <w:pPr>
        <w:pStyle w:val="2"/>
        <w:ind w:firstLine="0"/>
        <w:rPr>
          <w:sz w:val="36"/>
          <w:szCs w:val="36"/>
        </w:rPr>
      </w:pPr>
      <w:r>
        <w:rPr>
          <w:rFonts w:hint="eastAsia"/>
          <w:sz w:val="36"/>
          <w:szCs w:val="36"/>
        </w:rPr>
        <w:t>评标办法附件</w:t>
      </w:r>
    </w:p>
    <w:p>
      <w:pPr>
        <w:ind w:firstLine="480" w:firstLineChars="200"/>
        <w:jc w:val="left"/>
        <w:rPr>
          <w:rFonts w:ascii="宋体" w:hAnsi="宋体"/>
          <w:color w:val="000000"/>
          <w:sz w:val="24"/>
          <w:szCs w:val="20"/>
        </w:rPr>
      </w:pPr>
      <w:r>
        <w:rPr>
          <w:rFonts w:hint="eastAsia" w:ascii="宋体" w:hAnsi="宋体"/>
          <w:color w:val="000000"/>
          <w:sz w:val="24"/>
          <w:szCs w:val="20"/>
        </w:rPr>
        <w:t>本次评标采用综合评分法，即指在最大限度地满足招标文件实质性要求的前提下，按照招标文件中规定的各项因素进行综合评审后，以评标总得分最高的供应商作为中标候选供应商或中标供应商的评标方法，满分为100分，详细评分标准如下：</w:t>
      </w:r>
    </w:p>
    <w:p>
      <w:pPr>
        <w:jc w:val="center"/>
        <w:rPr>
          <w:rFonts w:ascii="黑体" w:hAnsi="Times New Roman" w:eastAsia="黑体"/>
          <w:sz w:val="24"/>
          <w:szCs w:val="20"/>
        </w:rPr>
      </w:pPr>
      <w:r>
        <w:rPr>
          <w:rFonts w:hint="eastAsia" w:ascii="宋体" w:hAnsi="宋体"/>
          <w:color w:val="000000"/>
          <w:sz w:val="24"/>
          <w:szCs w:val="20"/>
        </w:rPr>
        <w:t>评分标准</w:t>
      </w:r>
    </w:p>
    <w:tbl>
      <w:tblPr>
        <w:tblStyle w:val="7"/>
        <w:tblW w:w="9224" w:type="dxa"/>
        <w:tblInd w:w="0" w:type="dxa"/>
        <w:tblLayout w:type="fixed"/>
        <w:tblCellMar>
          <w:top w:w="0" w:type="dxa"/>
          <w:left w:w="10" w:type="dxa"/>
          <w:bottom w:w="0" w:type="dxa"/>
          <w:right w:w="10" w:type="dxa"/>
        </w:tblCellMar>
      </w:tblPr>
      <w:tblGrid>
        <w:gridCol w:w="2278"/>
        <w:gridCol w:w="2410"/>
        <w:gridCol w:w="2126"/>
        <w:gridCol w:w="2410"/>
      </w:tblGrid>
      <w:tr>
        <w:tblPrEx>
          <w:tblCellMar>
            <w:top w:w="0" w:type="dxa"/>
            <w:left w:w="10" w:type="dxa"/>
            <w:bottom w:w="0" w:type="dxa"/>
            <w:right w:w="10" w:type="dxa"/>
          </w:tblCellMar>
        </w:tblPrEx>
        <w:trPr>
          <w:trHeight w:val="426" w:hRule="atLeast"/>
        </w:trPr>
        <w:tc>
          <w:tcPr>
            <w:tcW w:w="2278"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54" w:right="-318" w:hanging="1230"/>
              <w:jc w:val="center"/>
              <w:rPr>
                <w:rFonts w:ascii="宋体" w:hAnsi="宋体" w:cs="宋体"/>
                <w:b/>
                <w:bCs/>
                <w:szCs w:val="20"/>
                <w:lang w:val="zh-CN"/>
              </w:rPr>
            </w:pPr>
            <w:r>
              <w:rPr>
                <w:rFonts w:hint="eastAsia" w:ascii="宋体" w:hAnsi="宋体" w:cs="宋体"/>
                <w:b/>
                <w:bCs/>
                <w:szCs w:val="20"/>
                <w:lang w:val="zh-CN"/>
              </w:rPr>
              <w:t>评分因素</w:t>
            </w:r>
          </w:p>
        </w:tc>
        <w:tc>
          <w:tcPr>
            <w:tcW w:w="2410"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54" w:right="-318" w:hanging="1230"/>
              <w:jc w:val="center"/>
              <w:rPr>
                <w:rFonts w:ascii="宋体" w:hAnsi="宋体" w:cs="宋体"/>
                <w:b/>
                <w:bCs/>
                <w:szCs w:val="20"/>
                <w:lang w:val="zh-CN"/>
              </w:rPr>
            </w:pPr>
            <w:r>
              <w:rPr>
                <w:rFonts w:hint="eastAsia" w:ascii="宋体" w:hAnsi="宋体" w:cs="宋体"/>
                <w:b/>
                <w:bCs/>
                <w:szCs w:val="20"/>
                <w:lang w:val="zh-CN"/>
              </w:rPr>
              <w:t>商务部分</w:t>
            </w:r>
          </w:p>
        </w:tc>
        <w:tc>
          <w:tcPr>
            <w:tcW w:w="2126"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54" w:right="-318" w:hanging="1230"/>
              <w:jc w:val="center"/>
              <w:rPr>
                <w:rFonts w:ascii="宋体" w:hAnsi="宋体" w:cs="宋体"/>
                <w:b/>
                <w:bCs/>
                <w:szCs w:val="20"/>
                <w:lang w:val="zh-CN"/>
              </w:rPr>
            </w:pPr>
            <w:r>
              <w:rPr>
                <w:rFonts w:hint="eastAsia" w:ascii="宋体" w:hAnsi="宋体" w:cs="宋体"/>
                <w:b/>
                <w:bCs/>
                <w:szCs w:val="20"/>
                <w:lang w:val="zh-CN"/>
              </w:rPr>
              <w:t>技术部分</w:t>
            </w:r>
          </w:p>
        </w:tc>
        <w:tc>
          <w:tcPr>
            <w:tcW w:w="2410"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54" w:right="-318" w:hanging="1230"/>
              <w:jc w:val="center"/>
              <w:rPr>
                <w:rFonts w:ascii="宋体" w:hAnsi="宋体" w:cs="宋体"/>
                <w:b/>
                <w:bCs/>
                <w:szCs w:val="20"/>
                <w:lang w:val="zh-CN"/>
              </w:rPr>
            </w:pPr>
            <w:r>
              <w:rPr>
                <w:rFonts w:hint="eastAsia" w:ascii="宋体" w:hAnsi="宋体" w:cs="宋体"/>
                <w:b/>
                <w:bCs/>
                <w:szCs w:val="20"/>
                <w:lang w:val="zh-CN"/>
              </w:rPr>
              <w:t>总分</w:t>
            </w:r>
          </w:p>
        </w:tc>
      </w:tr>
      <w:tr>
        <w:tblPrEx>
          <w:tblCellMar>
            <w:top w:w="0" w:type="dxa"/>
            <w:left w:w="10" w:type="dxa"/>
            <w:bottom w:w="0" w:type="dxa"/>
            <w:right w:w="10" w:type="dxa"/>
          </w:tblCellMar>
        </w:tblPrEx>
        <w:trPr>
          <w:trHeight w:val="362" w:hRule="atLeast"/>
        </w:trPr>
        <w:tc>
          <w:tcPr>
            <w:tcW w:w="2278"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49" w:right="-318" w:hanging="1225"/>
              <w:jc w:val="center"/>
              <w:rPr>
                <w:rFonts w:ascii="宋体" w:hAnsi="宋体" w:cs="宋体"/>
                <w:szCs w:val="20"/>
                <w:lang w:val="zh-CN"/>
              </w:rPr>
            </w:pPr>
            <w:r>
              <w:rPr>
                <w:rFonts w:hint="eastAsia" w:ascii="宋体" w:hAnsi="宋体" w:cs="宋体"/>
                <w:szCs w:val="20"/>
                <w:lang w:val="zh-CN"/>
              </w:rPr>
              <w:t>分值比重</w:t>
            </w:r>
          </w:p>
        </w:tc>
        <w:tc>
          <w:tcPr>
            <w:tcW w:w="2410"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49" w:right="-318" w:hanging="1225"/>
              <w:jc w:val="center"/>
              <w:rPr>
                <w:rFonts w:ascii="宋体" w:hAnsi="宋体" w:cs="宋体"/>
                <w:szCs w:val="20"/>
              </w:rPr>
            </w:pPr>
            <w:r>
              <w:rPr>
                <w:rFonts w:ascii="宋体" w:hAnsi="宋体" w:cs="宋体"/>
                <w:szCs w:val="20"/>
              </w:rPr>
              <w:t>1</w:t>
            </w:r>
            <w:r>
              <w:rPr>
                <w:rFonts w:hint="eastAsia" w:ascii="宋体" w:hAnsi="宋体" w:cs="宋体"/>
                <w:szCs w:val="20"/>
              </w:rPr>
              <w:t>5分</w:t>
            </w:r>
          </w:p>
        </w:tc>
        <w:tc>
          <w:tcPr>
            <w:tcW w:w="2126"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49" w:right="-318" w:hanging="1225"/>
              <w:jc w:val="center"/>
              <w:rPr>
                <w:rFonts w:ascii="宋体" w:hAnsi="宋体" w:cs="宋体"/>
                <w:szCs w:val="20"/>
              </w:rPr>
            </w:pPr>
            <w:r>
              <w:rPr>
                <w:rFonts w:hint="eastAsia" w:ascii="宋体" w:hAnsi="宋体" w:cs="宋体"/>
                <w:szCs w:val="20"/>
              </w:rPr>
              <w:t>85分</w:t>
            </w:r>
          </w:p>
        </w:tc>
        <w:tc>
          <w:tcPr>
            <w:tcW w:w="2410" w:type="dxa"/>
            <w:tcBorders>
              <w:top w:val="single" w:color="auto" w:sz="6" w:space="0"/>
              <w:left w:val="single" w:color="auto" w:sz="6" w:space="0"/>
              <w:bottom w:val="single" w:color="auto" w:sz="6" w:space="0"/>
              <w:right w:val="single" w:color="auto" w:sz="6" w:space="0"/>
            </w:tcBorders>
            <w:noWrap/>
            <w:vAlign w:val="center"/>
          </w:tcPr>
          <w:p>
            <w:pPr>
              <w:tabs>
                <w:tab w:val="left" w:pos="6480"/>
              </w:tabs>
              <w:autoSpaceDE w:val="0"/>
              <w:autoSpaceDN w:val="0"/>
              <w:adjustRightInd w:val="0"/>
              <w:ind w:left="1049" w:right="-318" w:hanging="1225"/>
              <w:jc w:val="center"/>
              <w:rPr>
                <w:rFonts w:ascii="宋体" w:hAnsi="宋体" w:cs="宋体"/>
                <w:szCs w:val="20"/>
                <w:lang w:val="zh-CN"/>
              </w:rPr>
            </w:pPr>
            <w:r>
              <w:rPr>
                <w:rFonts w:hint="eastAsia" w:ascii="宋体" w:hAnsi="宋体" w:cs="宋体"/>
                <w:szCs w:val="20"/>
                <w:lang w:val="zh-CN"/>
              </w:rPr>
              <w:t>100分</w:t>
            </w:r>
          </w:p>
        </w:tc>
      </w:tr>
    </w:tbl>
    <w:p>
      <w:pPr>
        <w:autoSpaceDE w:val="0"/>
        <w:autoSpaceDN w:val="0"/>
        <w:adjustRightInd w:val="0"/>
        <w:spacing w:line="360" w:lineRule="auto"/>
        <w:rPr>
          <w:rFonts w:ascii="宋体" w:hAnsi="宋体" w:cs="宋体"/>
          <w:szCs w:val="20"/>
          <w:lang w:val="zh-CN"/>
        </w:rPr>
      </w:pPr>
      <w:r>
        <w:rPr>
          <w:rFonts w:hint="eastAsia" w:ascii="宋体" w:hAnsi="宋体" w:cs="宋体"/>
          <w:szCs w:val="20"/>
          <w:lang w:val="zh-CN"/>
        </w:rPr>
        <w:t>商务部分</w:t>
      </w:r>
    </w:p>
    <w:tbl>
      <w:tblPr>
        <w:tblStyle w:val="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41"/>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68" w:type="dxa"/>
            <w:noWrap/>
            <w:vAlign w:val="center"/>
          </w:tcPr>
          <w:p>
            <w:pPr>
              <w:autoSpaceDE w:val="0"/>
              <w:autoSpaceDN w:val="0"/>
              <w:adjustRightInd w:val="0"/>
              <w:jc w:val="center"/>
              <w:rPr>
                <w:rFonts w:ascii="宋体" w:hAnsi="宋体" w:cs="宋体"/>
                <w:b/>
                <w:bCs/>
                <w:szCs w:val="20"/>
                <w:lang w:val="zh-CN"/>
              </w:rPr>
            </w:pPr>
            <w:r>
              <w:rPr>
                <w:rFonts w:hint="eastAsia" w:ascii="宋体" w:hAnsi="宋体" w:cs="宋体"/>
                <w:b/>
                <w:bCs/>
                <w:szCs w:val="20"/>
                <w:lang w:val="zh-CN"/>
              </w:rPr>
              <w:t>评审项目</w:t>
            </w:r>
          </w:p>
        </w:tc>
        <w:tc>
          <w:tcPr>
            <w:tcW w:w="941" w:type="dxa"/>
            <w:noWrap/>
            <w:vAlign w:val="center"/>
          </w:tcPr>
          <w:p>
            <w:pPr>
              <w:autoSpaceDE w:val="0"/>
              <w:autoSpaceDN w:val="0"/>
              <w:adjustRightInd w:val="0"/>
              <w:jc w:val="center"/>
              <w:rPr>
                <w:rFonts w:ascii="宋体" w:hAnsi="宋体" w:cs="宋体"/>
                <w:b/>
                <w:bCs/>
                <w:szCs w:val="20"/>
                <w:lang w:val="zh-CN"/>
              </w:rPr>
            </w:pPr>
            <w:r>
              <w:rPr>
                <w:rFonts w:hint="eastAsia" w:ascii="宋体" w:hAnsi="宋体" w:cs="宋体"/>
                <w:b/>
                <w:bCs/>
                <w:szCs w:val="20"/>
                <w:lang w:val="zh-CN"/>
              </w:rPr>
              <w:t>分数</w:t>
            </w:r>
          </w:p>
        </w:tc>
        <w:tc>
          <w:tcPr>
            <w:tcW w:w="6005" w:type="dxa"/>
            <w:noWrap/>
            <w:vAlign w:val="center"/>
          </w:tcPr>
          <w:p>
            <w:pPr>
              <w:autoSpaceDE w:val="0"/>
              <w:autoSpaceDN w:val="0"/>
              <w:adjustRightInd w:val="0"/>
              <w:jc w:val="center"/>
              <w:rPr>
                <w:rFonts w:ascii="宋体" w:hAnsi="宋体" w:cs="宋体"/>
                <w:b/>
                <w:bCs/>
                <w:szCs w:val="20"/>
                <w:lang w:val="zh-CN"/>
              </w:rPr>
            </w:pPr>
            <w:r>
              <w:rPr>
                <w:rFonts w:hint="eastAsia" w:ascii="宋体" w:hAnsi="宋体" w:cs="宋体"/>
                <w:b/>
                <w:bCs/>
                <w:szCs w:val="20"/>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268" w:type="dxa"/>
            <w:noWrap/>
            <w:vAlign w:val="center"/>
          </w:tcPr>
          <w:p>
            <w:pPr>
              <w:jc w:val="center"/>
              <w:rPr>
                <w:rFonts w:ascii="宋体" w:hAnsi="宋体" w:cs="宋体"/>
                <w:szCs w:val="20"/>
                <w:lang w:val="zh-CN"/>
              </w:rPr>
            </w:pPr>
            <w:r>
              <w:rPr>
                <w:rFonts w:hint="eastAsia" w:ascii="宋体" w:hAnsi="宋体" w:cs="宋体"/>
                <w:szCs w:val="20"/>
              </w:rPr>
              <w:t>类似</w:t>
            </w:r>
            <w:r>
              <w:rPr>
                <w:rFonts w:hint="eastAsia" w:ascii="宋体" w:hAnsi="宋体" w:cs="宋体"/>
                <w:szCs w:val="20"/>
                <w:lang w:val="zh-CN"/>
              </w:rPr>
              <w:t>业绩</w:t>
            </w:r>
          </w:p>
        </w:tc>
        <w:tc>
          <w:tcPr>
            <w:tcW w:w="941" w:type="dxa"/>
            <w:noWrap/>
            <w:vAlign w:val="center"/>
          </w:tcPr>
          <w:p>
            <w:pPr>
              <w:autoSpaceDE w:val="0"/>
              <w:autoSpaceDN w:val="0"/>
              <w:adjustRightInd w:val="0"/>
              <w:spacing w:line="360" w:lineRule="auto"/>
              <w:jc w:val="center"/>
              <w:rPr>
                <w:rFonts w:ascii="宋体" w:hAnsi="宋体" w:cs="宋体"/>
                <w:color w:val="000000"/>
                <w:szCs w:val="20"/>
              </w:rPr>
            </w:pPr>
            <w:r>
              <w:rPr>
                <w:rFonts w:hint="eastAsia" w:ascii="宋体" w:hAnsi="宋体" w:cs="宋体"/>
                <w:szCs w:val="20"/>
              </w:rPr>
              <w:t xml:space="preserve"> </w:t>
            </w:r>
            <w:r>
              <w:rPr>
                <w:rFonts w:ascii="宋体" w:hAnsi="宋体" w:cs="宋体"/>
                <w:szCs w:val="20"/>
              </w:rPr>
              <w:t>1</w:t>
            </w:r>
            <w:r>
              <w:rPr>
                <w:rFonts w:hint="eastAsia" w:ascii="宋体" w:hAnsi="宋体" w:cs="宋体"/>
                <w:szCs w:val="20"/>
              </w:rPr>
              <w:t>5分</w:t>
            </w:r>
          </w:p>
        </w:tc>
        <w:tc>
          <w:tcPr>
            <w:tcW w:w="6005" w:type="dxa"/>
            <w:noWrap/>
            <w:vAlign w:val="center"/>
          </w:tcPr>
          <w:p>
            <w:pPr>
              <w:ind w:firstLine="420" w:firstLineChars="200"/>
              <w:rPr>
                <w:rFonts w:ascii="宋体" w:hAnsi="宋体" w:cs="宋体"/>
                <w:szCs w:val="20"/>
              </w:rPr>
            </w:pPr>
            <w:r>
              <w:rPr>
                <w:rFonts w:hint="eastAsia" w:ascii="宋体" w:hAnsi="宋体" w:cs="宋体"/>
                <w:szCs w:val="20"/>
              </w:rPr>
              <w:t>自2019年1月1日以来，具有类似项目服务经验的有1个得5分，最高得15分；同一项目不同年度不进行累积计算。（须提供合同复印件）</w:t>
            </w:r>
          </w:p>
          <w:p>
            <w:pPr>
              <w:rPr>
                <w:rFonts w:ascii="宋体" w:hAnsi="宋体" w:cs="宋体"/>
                <w:szCs w:val="20"/>
                <w:lang w:val="zh-CN"/>
              </w:rPr>
            </w:pPr>
            <w:r>
              <w:rPr>
                <w:rFonts w:hint="eastAsia" w:ascii="宋体" w:hAnsi="宋体" w:cs="宋体"/>
                <w:szCs w:val="20"/>
              </w:rPr>
              <w:t>（以上证明均须提供合同复印件加盖公章）。</w:t>
            </w:r>
          </w:p>
        </w:tc>
      </w:tr>
    </w:tbl>
    <w:p>
      <w:pPr>
        <w:autoSpaceDE w:val="0"/>
        <w:autoSpaceDN w:val="0"/>
        <w:adjustRightInd w:val="0"/>
        <w:spacing w:line="360" w:lineRule="auto"/>
        <w:rPr>
          <w:rFonts w:ascii="宋体" w:hAnsi="宋体" w:cs="宋体"/>
          <w:szCs w:val="20"/>
          <w:lang w:val="zh-CN"/>
        </w:rPr>
      </w:pPr>
      <w:r>
        <w:rPr>
          <w:rFonts w:hint="eastAsia" w:ascii="宋体" w:hAnsi="宋体" w:cs="宋体"/>
          <w:szCs w:val="20"/>
          <w:lang w:val="zh-CN"/>
        </w:rPr>
        <w:t>技术部分</w:t>
      </w:r>
    </w:p>
    <w:tbl>
      <w:tblPr>
        <w:tblStyle w:val="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9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268" w:type="dxa"/>
            <w:vAlign w:val="center"/>
          </w:tcPr>
          <w:p>
            <w:pPr>
              <w:autoSpaceDE w:val="0"/>
              <w:autoSpaceDN w:val="0"/>
              <w:adjustRightInd w:val="0"/>
              <w:jc w:val="center"/>
              <w:rPr>
                <w:rFonts w:ascii="宋体" w:hAnsi="宋体" w:cs="宋体"/>
                <w:b/>
                <w:bCs/>
                <w:szCs w:val="20"/>
                <w:lang w:val="zh-CN"/>
              </w:rPr>
            </w:pPr>
            <w:r>
              <w:rPr>
                <w:rFonts w:hint="eastAsia" w:ascii="宋体" w:hAnsi="宋体" w:cs="宋体"/>
                <w:b/>
                <w:bCs/>
                <w:szCs w:val="20"/>
                <w:lang w:val="zh-CN"/>
              </w:rPr>
              <w:t>评审项目</w:t>
            </w:r>
          </w:p>
        </w:tc>
        <w:tc>
          <w:tcPr>
            <w:tcW w:w="993" w:type="dxa"/>
            <w:vAlign w:val="center"/>
          </w:tcPr>
          <w:p>
            <w:pPr>
              <w:autoSpaceDE w:val="0"/>
              <w:autoSpaceDN w:val="0"/>
              <w:adjustRightInd w:val="0"/>
              <w:ind w:firstLine="211" w:firstLineChars="100"/>
              <w:jc w:val="center"/>
              <w:rPr>
                <w:rFonts w:ascii="宋体" w:hAnsi="宋体" w:cs="宋体"/>
                <w:b/>
                <w:bCs/>
                <w:szCs w:val="20"/>
                <w:lang w:val="zh-CN"/>
              </w:rPr>
            </w:pPr>
            <w:r>
              <w:rPr>
                <w:rFonts w:hint="eastAsia" w:ascii="宋体" w:hAnsi="宋体" w:cs="宋体"/>
                <w:b/>
                <w:bCs/>
                <w:szCs w:val="20"/>
                <w:lang w:val="zh-CN"/>
              </w:rPr>
              <w:t>分数</w:t>
            </w:r>
          </w:p>
        </w:tc>
        <w:tc>
          <w:tcPr>
            <w:tcW w:w="5953" w:type="dxa"/>
            <w:vAlign w:val="center"/>
          </w:tcPr>
          <w:p>
            <w:pPr>
              <w:autoSpaceDE w:val="0"/>
              <w:autoSpaceDN w:val="0"/>
              <w:adjustRightInd w:val="0"/>
              <w:ind w:firstLine="422" w:firstLineChars="200"/>
              <w:jc w:val="center"/>
              <w:rPr>
                <w:rFonts w:ascii="宋体" w:hAnsi="宋体" w:cs="宋体"/>
                <w:b/>
                <w:bCs/>
                <w:szCs w:val="20"/>
                <w:lang w:val="zh-CN"/>
              </w:rPr>
            </w:pPr>
            <w:r>
              <w:rPr>
                <w:rFonts w:hint="eastAsia" w:ascii="宋体" w:hAnsi="宋体" w:cs="宋体"/>
                <w:b/>
                <w:bCs/>
                <w:szCs w:val="20"/>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szCs w:val="24"/>
              </w:rPr>
            </w:pPr>
            <w:r>
              <w:rPr>
                <w:rFonts w:hint="eastAsia" w:ascii="Times New Roman" w:hAnsi="Times New Roman"/>
                <w:szCs w:val="20"/>
              </w:rPr>
              <w:t>管理制度及方案</w:t>
            </w:r>
          </w:p>
        </w:tc>
        <w:tc>
          <w:tcPr>
            <w:tcW w:w="993" w:type="dxa"/>
            <w:vAlign w:val="center"/>
          </w:tcPr>
          <w:p>
            <w:pPr>
              <w:jc w:val="center"/>
              <w:rPr>
                <w:rFonts w:ascii="宋体" w:hAnsi="宋体"/>
                <w:szCs w:val="21"/>
              </w:rPr>
            </w:pPr>
            <w:r>
              <w:rPr>
                <w:rFonts w:hint="eastAsia" w:ascii="宋体" w:hAnsi="宋体"/>
                <w:szCs w:val="21"/>
              </w:rPr>
              <w:t>30分</w:t>
            </w:r>
          </w:p>
        </w:tc>
        <w:tc>
          <w:tcPr>
            <w:tcW w:w="5953" w:type="dxa"/>
            <w:vAlign w:val="center"/>
          </w:tcPr>
          <w:p>
            <w:pPr>
              <w:tabs>
                <w:tab w:val="left" w:pos="567"/>
              </w:tabs>
              <w:ind w:firstLine="420" w:firstLineChars="200"/>
              <w:rPr>
                <w:rFonts w:ascii="华文中宋" w:hAnsi="Times New Roman" w:eastAsia="华文中宋"/>
                <w:sz w:val="28"/>
                <w:szCs w:val="20"/>
                <w:lang w:val="zh-CN"/>
              </w:rPr>
            </w:pPr>
            <w:r>
              <w:rPr>
                <w:rFonts w:hint="eastAsia" w:ascii="宋体" w:hAnsi="宋体" w:cs="宋体"/>
                <w:szCs w:val="20"/>
              </w:rPr>
              <w:t>制度建设、管理措施及服务承诺（含食品安全管理工作制度、岗位职责、人员配置方案、日常检查措施、服务工作流程、服务投诉处理办法及程序、人员学习与培训计划、人员考（勤）核与奖惩规定、台账资料记载、采购流程等）以及食品安全责任书等。该项满分为30分。优秀得21-30分、良好得11-20分，一般得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Times New Roman" w:hAnsi="Times New Roman"/>
                <w:szCs w:val="20"/>
              </w:rPr>
            </w:pPr>
            <w:r>
              <w:rPr>
                <w:rFonts w:hint="eastAsia" w:ascii="Times New Roman" w:hAnsi="Times New Roman"/>
                <w:szCs w:val="20"/>
              </w:rPr>
              <w:t>菜品</w:t>
            </w:r>
          </w:p>
        </w:tc>
        <w:tc>
          <w:tcPr>
            <w:tcW w:w="993" w:type="dxa"/>
            <w:vAlign w:val="center"/>
          </w:tcPr>
          <w:p>
            <w:pPr>
              <w:jc w:val="center"/>
              <w:rPr>
                <w:rFonts w:ascii="宋体" w:hAnsi="宋体"/>
                <w:szCs w:val="21"/>
              </w:rPr>
            </w:pPr>
            <w:r>
              <w:rPr>
                <w:rFonts w:hint="eastAsia" w:ascii="宋体" w:hAnsi="宋体"/>
                <w:szCs w:val="21"/>
              </w:rPr>
              <w:t>40分</w:t>
            </w:r>
          </w:p>
        </w:tc>
        <w:tc>
          <w:tcPr>
            <w:tcW w:w="5953" w:type="dxa"/>
            <w:vAlign w:val="center"/>
          </w:tcPr>
          <w:p>
            <w:pPr>
              <w:tabs>
                <w:tab w:val="left" w:pos="567"/>
              </w:tabs>
              <w:ind w:firstLine="420" w:firstLineChars="200"/>
              <w:rPr>
                <w:rFonts w:ascii="宋体" w:hAnsi="宋体" w:cs="宋体"/>
                <w:szCs w:val="20"/>
              </w:rPr>
            </w:pPr>
            <w:r>
              <w:rPr>
                <w:rFonts w:hint="eastAsia" w:ascii="宋体" w:hAnsi="宋体" w:cs="宋体"/>
                <w:szCs w:val="20"/>
              </w:rPr>
              <w:t>根据招标人对早、中、晚餐餐标要求，按季度提供四份为期一周的菜品清单（此四份菜品清单作为中标后履行合同职责的执行标准，具体执行时根据季节及口味等进行改动，具体改动需提前与招标人沟通）。此项共40分。评标小组根据投标文件具体内容综合评审，横向对比，按三个等级评分:优31-40分，良16-30分，一般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Times New Roman" w:hAnsi="Times New Roman"/>
                <w:szCs w:val="20"/>
              </w:rPr>
            </w:pPr>
            <w:r>
              <w:rPr>
                <w:rFonts w:ascii="Times New Roman" w:hAnsi="Times New Roman"/>
                <w:szCs w:val="20"/>
              </w:rPr>
              <w:t>配送及应急服务方案</w:t>
            </w:r>
          </w:p>
        </w:tc>
        <w:tc>
          <w:tcPr>
            <w:tcW w:w="993" w:type="dxa"/>
            <w:vAlign w:val="center"/>
          </w:tcPr>
          <w:p>
            <w:pPr>
              <w:jc w:val="center"/>
              <w:rPr>
                <w:rFonts w:ascii="宋体" w:hAnsi="宋体"/>
                <w:szCs w:val="21"/>
              </w:rPr>
            </w:pPr>
            <w:r>
              <w:rPr>
                <w:rFonts w:hint="eastAsia" w:ascii="宋体" w:hAnsi="宋体"/>
                <w:szCs w:val="21"/>
              </w:rPr>
              <w:t>15分</w:t>
            </w:r>
          </w:p>
        </w:tc>
        <w:tc>
          <w:tcPr>
            <w:tcW w:w="5953" w:type="dxa"/>
            <w:vAlign w:val="center"/>
          </w:tcPr>
          <w:p>
            <w:pPr>
              <w:tabs>
                <w:tab w:val="left" w:pos="567"/>
              </w:tabs>
              <w:ind w:firstLine="420" w:firstLineChars="200"/>
              <w:rPr>
                <w:rFonts w:ascii="宋体" w:hAnsi="宋体" w:cs="宋体"/>
                <w:szCs w:val="20"/>
              </w:rPr>
            </w:pPr>
            <w:r>
              <w:rPr>
                <w:rFonts w:ascii="宋体" w:hAnsi="宋体" w:cs="宋体"/>
                <w:szCs w:val="20"/>
              </w:rPr>
              <w:t>提供针对本项目的食材配送方案及应急服务方案，评委根据投标方的方案</w:t>
            </w:r>
            <w:r>
              <w:rPr>
                <w:rFonts w:hint="eastAsia" w:ascii="宋体" w:hAnsi="宋体" w:cs="宋体"/>
                <w:szCs w:val="20"/>
              </w:rPr>
              <w:t>合理性，进行评分</w:t>
            </w:r>
            <w:r>
              <w:rPr>
                <w:rFonts w:ascii="宋体" w:hAnsi="宋体" w:cs="宋体"/>
                <w:szCs w:val="20"/>
              </w:rPr>
              <w:t>优得</w:t>
            </w:r>
            <w:r>
              <w:rPr>
                <w:rFonts w:hint="eastAsia" w:ascii="宋体" w:hAnsi="宋体" w:cs="宋体"/>
                <w:szCs w:val="20"/>
              </w:rPr>
              <w:t>11-15</w:t>
            </w:r>
            <w:r>
              <w:rPr>
                <w:rFonts w:ascii="宋体" w:hAnsi="宋体" w:cs="宋体"/>
                <w:szCs w:val="20"/>
              </w:rPr>
              <w:t xml:space="preserve"> 分，良得 </w:t>
            </w:r>
            <w:r>
              <w:rPr>
                <w:rFonts w:hint="eastAsia" w:ascii="宋体" w:hAnsi="宋体" w:cs="宋体"/>
                <w:szCs w:val="20"/>
              </w:rPr>
              <w:t>6-10</w:t>
            </w:r>
            <w:r>
              <w:rPr>
                <w:rFonts w:ascii="宋体" w:hAnsi="宋体" w:cs="宋体"/>
                <w:szCs w:val="20"/>
              </w:rPr>
              <w:t>分，</w:t>
            </w:r>
            <w:r>
              <w:rPr>
                <w:rFonts w:hint="eastAsia" w:ascii="宋体" w:hAnsi="宋体" w:cs="宋体"/>
                <w:szCs w:val="20"/>
              </w:rPr>
              <w:t xml:space="preserve"> 一般</w:t>
            </w:r>
            <w:r>
              <w:rPr>
                <w:rFonts w:ascii="宋体" w:hAnsi="宋体" w:cs="宋体"/>
                <w:szCs w:val="20"/>
              </w:rPr>
              <w:t xml:space="preserve">得 </w:t>
            </w:r>
            <w:r>
              <w:rPr>
                <w:rFonts w:hint="eastAsia" w:ascii="宋体" w:hAnsi="宋体" w:cs="宋体"/>
                <w:szCs w:val="20"/>
              </w:rPr>
              <w:t>1</w:t>
            </w:r>
            <w:r>
              <w:rPr>
                <w:rFonts w:ascii="宋体" w:hAnsi="宋体" w:cs="宋体"/>
                <w:szCs w:val="20"/>
              </w:rPr>
              <w:t>-</w:t>
            </w:r>
            <w:r>
              <w:rPr>
                <w:rFonts w:hint="eastAsia" w:ascii="宋体" w:hAnsi="宋体" w:cs="宋体"/>
                <w:szCs w:val="20"/>
              </w:rPr>
              <w:t>5</w:t>
            </w:r>
            <w:r>
              <w:rPr>
                <w:rFonts w:ascii="宋体" w:hAnsi="宋体" w:cs="宋体"/>
                <w:szCs w:val="20"/>
              </w:rPr>
              <w:t xml:space="preserve"> 分；</w:t>
            </w:r>
          </w:p>
        </w:tc>
      </w:tr>
    </w:tbl>
    <w:p>
      <w:pPr>
        <w:pStyle w:val="2"/>
        <w:ind w:firstLine="0"/>
        <w:rPr>
          <w:sz w:val="36"/>
          <w:szCs w:val="36"/>
        </w:rPr>
      </w:pPr>
    </w:p>
    <w:p>
      <w:pPr>
        <w:pStyle w:val="2"/>
        <w:ind w:firstLine="0"/>
        <w:rPr>
          <w:sz w:val="36"/>
          <w:szCs w:val="36"/>
        </w:rPr>
      </w:pPr>
    </w:p>
    <w:p>
      <w:pPr>
        <w:pStyle w:val="2"/>
        <w:ind w:firstLine="0"/>
        <w:rPr>
          <w:sz w:val="36"/>
          <w:szCs w:val="36"/>
        </w:rPr>
      </w:pPr>
    </w:p>
    <w:p>
      <w:pPr>
        <w:pStyle w:val="2"/>
        <w:ind w:firstLine="0"/>
        <w:rPr>
          <w:rFonts w:hint="eastAsia"/>
          <w:sz w:val="36"/>
          <w:szCs w:val="36"/>
        </w:rPr>
      </w:pPr>
    </w:p>
    <w:p>
      <w:pPr>
        <w:pStyle w:val="2"/>
        <w:ind w:firstLine="0"/>
        <w:rPr>
          <w:sz w:val="36"/>
          <w:szCs w:val="36"/>
        </w:rPr>
      </w:pPr>
    </w:p>
    <w:p>
      <w:pPr>
        <w:pStyle w:val="2"/>
        <w:ind w:firstLine="0"/>
        <w:rPr>
          <w:sz w:val="36"/>
          <w:szCs w:val="36"/>
        </w:rPr>
      </w:pPr>
      <w:r>
        <w:rPr>
          <w:rFonts w:hint="eastAsia"/>
          <w:sz w:val="36"/>
          <w:szCs w:val="36"/>
        </w:rPr>
        <w:t>格式附件</w:t>
      </w:r>
    </w:p>
    <w:p>
      <w:pPr>
        <w:spacing w:line="360" w:lineRule="auto"/>
        <w:jc w:val="center"/>
        <w:rPr>
          <w:rFonts w:ascii="宋体" w:hAnsi="Times New Roman" w:eastAsia="Times New Roman"/>
          <w:sz w:val="24"/>
          <w:szCs w:val="20"/>
        </w:rPr>
      </w:pPr>
      <w:r>
        <w:rPr>
          <w:rFonts w:hint="eastAsia" w:ascii="黑体" w:hAnsi="Times New Roman" w:eastAsia="黑体"/>
          <w:sz w:val="28"/>
          <w:szCs w:val="20"/>
        </w:rPr>
        <w:t>投标函</w:t>
      </w:r>
    </w:p>
    <w:p>
      <w:pPr>
        <w:spacing w:line="360" w:lineRule="auto"/>
        <w:rPr>
          <w:rFonts w:ascii="宋体" w:hAnsi="Times New Roman" w:eastAsia="Times New Roman"/>
          <w:sz w:val="24"/>
          <w:szCs w:val="20"/>
        </w:rPr>
      </w:pPr>
      <w:r>
        <w:rPr>
          <w:rFonts w:hint="eastAsia" w:ascii="宋体" w:hAnsi="宋体"/>
          <w:sz w:val="24"/>
          <w:szCs w:val="20"/>
        </w:rPr>
        <w:t>致三峰靖江港务物流有限责任公司：</w:t>
      </w:r>
    </w:p>
    <w:p>
      <w:pPr>
        <w:spacing w:line="360" w:lineRule="auto"/>
        <w:ind w:firstLine="480" w:firstLineChars="200"/>
        <w:rPr>
          <w:rFonts w:ascii="宋体" w:hAnsi="Times New Roman" w:eastAsia="Times New Roman"/>
          <w:sz w:val="24"/>
          <w:szCs w:val="20"/>
        </w:rPr>
      </w:pPr>
      <w:r>
        <w:rPr>
          <w:rFonts w:hint="eastAsia" w:ascii="宋体" w:hAnsi="宋体"/>
          <w:sz w:val="24"/>
          <w:szCs w:val="20"/>
        </w:rPr>
        <w:t>我方收到贵方招标文件，经仔细阅读和研究，我方决定参加此项目的投标。</w:t>
      </w:r>
    </w:p>
    <w:p>
      <w:pPr>
        <w:numPr>
          <w:ilvl w:val="0"/>
          <w:numId w:val="1"/>
        </w:numPr>
        <w:tabs>
          <w:tab w:val="left" w:pos="315"/>
          <w:tab w:val="left" w:pos="840"/>
          <w:tab w:val="left" w:pos="945"/>
          <w:tab w:val="left" w:pos="1050"/>
          <w:tab w:val="left" w:pos="1260"/>
        </w:tabs>
        <w:spacing w:line="360" w:lineRule="auto"/>
        <w:ind w:firstLine="525"/>
        <w:rPr>
          <w:rFonts w:ascii="宋体" w:hAnsi="Times New Roman" w:eastAsia="Times New Roman"/>
          <w:sz w:val="24"/>
          <w:szCs w:val="20"/>
        </w:rPr>
      </w:pPr>
      <w:r>
        <w:rPr>
          <w:rFonts w:hint="eastAsia" w:ascii="宋体" w:hAnsi="宋体"/>
          <w:sz w:val="24"/>
          <w:szCs w:val="20"/>
        </w:rPr>
        <w:t>我方愿意按照招标文件的一切要求，提供本项目的投标，投标总价见《开标一览表》。</w:t>
      </w:r>
    </w:p>
    <w:p>
      <w:pPr>
        <w:numPr>
          <w:ilvl w:val="0"/>
          <w:numId w:val="1"/>
        </w:numPr>
        <w:tabs>
          <w:tab w:val="left" w:pos="0"/>
          <w:tab w:val="left" w:pos="315"/>
          <w:tab w:val="left" w:pos="525"/>
          <w:tab w:val="left" w:pos="840"/>
          <w:tab w:val="left" w:pos="945"/>
          <w:tab w:val="left" w:pos="1050"/>
        </w:tabs>
        <w:spacing w:line="360" w:lineRule="auto"/>
        <w:ind w:firstLine="523" w:firstLineChars="218"/>
        <w:rPr>
          <w:rFonts w:ascii="宋体" w:hAnsi="宋体"/>
          <w:sz w:val="24"/>
          <w:szCs w:val="20"/>
        </w:rPr>
      </w:pPr>
      <w:r>
        <w:rPr>
          <w:rFonts w:hint="eastAsia" w:ascii="宋体" w:hAnsi="宋体"/>
          <w:sz w:val="24"/>
          <w:szCs w:val="20"/>
        </w:rPr>
        <w:t>我方愿意提供招标文件中要求的文件、资料。</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我方同意按招标文件中的规定，本投标文件投标的有效期限为开标之日起90天。</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如果我方的投标文件被接受，我方将履行招标文件中规定的每一项要求，按期、按质、按量，完成交货任务。</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我方认为贵公司有权决定中标者。</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我方愿意遵守《中华人民共和国政府采购法》，并按《中华人民共和国合同法》、财政部《政府采购货物和服务招标投标管理办法》和合同条款履行自己的全部责任。</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我方认可并遵守招标文件的所有规定，放弃对招标文件提出质疑的权利。</w:t>
      </w:r>
    </w:p>
    <w:p>
      <w:pPr>
        <w:numPr>
          <w:ilvl w:val="0"/>
          <w:numId w:val="1"/>
        </w:numPr>
        <w:tabs>
          <w:tab w:val="left" w:pos="0"/>
          <w:tab w:val="left" w:pos="315"/>
          <w:tab w:val="left" w:pos="525"/>
          <w:tab w:val="left" w:pos="945"/>
          <w:tab w:val="left" w:pos="1050"/>
        </w:tabs>
        <w:spacing w:line="360" w:lineRule="auto"/>
        <w:ind w:firstLine="523" w:firstLineChars="218"/>
        <w:rPr>
          <w:rFonts w:ascii="宋体" w:hAnsi="宋体"/>
          <w:sz w:val="24"/>
          <w:szCs w:val="20"/>
        </w:rPr>
      </w:pPr>
      <w:r>
        <w:rPr>
          <w:rFonts w:hint="eastAsia" w:ascii="宋体" w:hAnsi="宋体"/>
          <w:sz w:val="24"/>
          <w:szCs w:val="20"/>
        </w:rPr>
        <w:t>我方愿意按招标文件的规定交纳投标保证金。如我方在投标截止期后撤回投标及中标后拒绝遵守投标承诺或拒绝在规定的时间内与采购人签订合同，则投标保证金将被采购人没收。</w:t>
      </w:r>
    </w:p>
    <w:p>
      <w:pPr>
        <w:numPr>
          <w:ilvl w:val="0"/>
          <w:numId w:val="1"/>
        </w:numPr>
        <w:tabs>
          <w:tab w:val="left" w:pos="0"/>
          <w:tab w:val="left" w:pos="315"/>
          <w:tab w:val="left" w:pos="525"/>
          <w:tab w:val="left" w:pos="945"/>
          <w:tab w:val="left" w:pos="1050"/>
        </w:tabs>
        <w:spacing w:line="360" w:lineRule="auto"/>
        <w:ind w:firstLine="523" w:firstLineChars="218"/>
        <w:rPr>
          <w:rFonts w:ascii="宋体" w:hAnsi="Times New Roman" w:eastAsia="Times New Roman"/>
          <w:sz w:val="24"/>
          <w:szCs w:val="20"/>
        </w:rPr>
      </w:pPr>
      <w:r>
        <w:rPr>
          <w:rFonts w:hint="eastAsia" w:ascii="宋体" w:hAnsi="宋体"/>
          <w:sz w:val="24"/>
          <w:szCs w:val="20"/>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hAnsi="Times New Roman" w:eastAsia="Times New Roman"/>
          <w:sz w:val="24"/>
          <w:szCs w:val="20"/>
        </w:rPr>
      </w:pPr>
    </w:p>
    <w:p>
      <w:pPr>
        <w:spacing w:line="400" w:lineRule="exact"/>
        <w:ind w:firstLine="480" w:firstLineChars="200"/>
        <w:rPr>
          <w:rFonts w:ascii="宋体" w:hAnsi="Times New Roman" w:eastAsia="Times New Roman"/>
          <w:sz w:val="24"/>
          <w:szCs w:val="20"/>
        </w:rPr>
      </w:pPr>
      <w:r>
        <w:rPr>
          <w:rFonts w:hint="eastAsia" w:ascii="宋体" w:hAnsi="宋体"/>
          <w:sz w:val="24"/>
          <w:szCs w:val="20"/>
        </w:rPr>
        <w:t>投标人（盖章）：</w:t>
      </w:r>
    </w:p>
    <w:p>
      <w:pPr>
        <w:spacing w:line="400" w:lineRule="exact"/>
        <w:ind w:firstLine="480" w:firstLineChars="200"/>
        <w:rPr>
          <w:rFonts w:ascii="宋体" w:hAnsi="Times New Roman" w:eastAsia="Times New Roman"/>
          <w:sz w:val="24"/>
          <w:szCs w:val="20"/>
        </w:rPr>
      </w:pPr>
      <w:r>
        <w:rPr>
          <w:rFonts w:hint="eastAsia" w:ascii="宋体" w:hAnsi="宋体"/>
          <w:sz w:val="24"/>
          <w:szCs w:val="20"/>
        </w:rPr>
        <w:t>法定代表人或法定代表人授权代表签字或盖章：</w:t>
      </w:r>
    </w:p>
    <w:p>
      <w:pPr>
        <w:spacing w:line="400" w:lineRule="exact"/>
        <w:ind w:firstLine="480" w:firstLineChars="200"/>
        <w:rPr>
          <w:rFonts w:ascii="宋体" w:hAnsi="Times New Roman" w:eastAsia="Times New Roman"/>
          <w:sz w:val="24"/>
          <w:szCs w:val="20"/>
        </w:rPr>
      </w:pPr>
      <w:r>
        <w:rPr>
          <w:rFonts w:hint="eastAsia" w:ascii="宋体" w:hAnsi="宋体"/>
          <w:sz w:val="24"/>
          <w:szCs w:val="20"/>
        </w:rPr>
        <w:t>电话：         传真：</w:t>
      </w:r>
    </w:p>
    <w:p>
      <w:pPr>
        <w:spacing w:line="400" w:lineRule="exact"/>
        <w:ind w:firstLine="480" w:firstLineChars="200"/>
        <w:rPr>
          <w:rFonts w:ascii="Times New Roman" w:hAnsi="Times New Roman"/>
          <w:sz w:val="24"/>
          <w:szCs w:val="20"/>
        </w:rPr>
      </w:pPr>
      <w:r>
        <w:rPr>
          <w:rFonts w:hint="eastAsia" w:ascii="宋体" w:hAnsi="宋体"/>
          <w:sz w:val="24"/>
          <w:szCs w:val="20"/>
        </w:rPr>
        <w:t>通讯地址：     邮编：</w:t>
      </w:r>
    </w:p>
    <w:p>
      <w:pPr>
        <w:jc w:val="center"/>
        <w:outlineLvl w:val="0"/>
        <w:rPr>
          <w:rFonts w:ascii="黑体" w:hAnsi="Times New Roman" w:eastAsia="黑体"/>
          <w:sz w:val="28"/>
          <w:szCs w:val="20"/>
        </w:rPr>
      </w:pPr>
    </w:p>
    <w:p>
      <w:pPr>
        <w:jc w:val="center"/>
        <w:outlineLvl w:val="0"/>
        <w:rPr>
          <w:rFonts w:ascii="黑体" w:hAnsi="Times New Roman" w:eastAsia="黑体"/>
          <w:sz w:val="28"/>
          <w:szCs w:val="20"/>
        </w:rPr>
      </w:pPr>
      <w:r>
        <w:rPr>
          <w:rFonts w:hint="eastAsia" w:ascii="黑体" w:hAnsi="Times New Roman" w:eastAsia="黑体"/>
          <w:sz w:val="28"/>
          <w:szCs w:val="20"/>
        </w:rPr>
        <w:t>关于资格的声明函</w:t>
      </w:r>
    </w:p>
    <w:p>
      <w:pPr>
        <w:spacing w:line="480" w:lineRule="auto"/>
        <w:rPr>
          <w:rFonts w:ascii="宋体" w:hAnsi="Times New Roman" w:eastAsiaTheme="minorEastAsia"/>
          <w:sz w:val="24"/>
          <w:szCs w:val="20"/>
        </w:rPr>
      </w:pPr>
    </w:p>
    <w:p>
      <w:pPr>
        <w:spacing w:line="480" w:lineRule="auto"/>
        <w:rPr>
          <w:rFonts w:ascii="宋体" w:hAnsi="Times New Roman"/>
          <w:sz w:val="24"/>
          <w:szCs w:val="20"/>
        </w:rPr>
      </w:pPr>
      <w:r>
        <w:rPr>
          <w:rFonts w:hint="eastAsia" w:ascii="宋体" w:hAnsi="宋体"/>
          <w:sz w:val="24"/>
          <w:szCs w:val="20"/>
        </w:rPr>
        <w:t>三峰靖江港务物流有限责任公司：</w:t>
      </w:r>
    </w:p>
    <w:p>
      <w:pPr>
        <w:spacing w:line="480" w:lineRule="auto"/>
        <w:ind w:firstLine="480" w:firstLineChars="200"/>
        <w:rPr>
          <w:rFonts w:ascii="宋体" w:hAnsi="Times New Roman" w:eastAsia="Times New Roman"/>
          <w:sz w:val="24"/>
          <w:szCs w:val="20"/>
        </w:rPr>
      </w:pPr>
      <w:r>
        <w:rPr>
          <w:rFonts w:hint="eastAsia" w:ascii="宋体" w:hAnsi="宋体"/>
          <w:sz w:val="24"/>
          <w:szCs w:val="20"/>
        </w:rPr>
        <w:t>我公司（单位）参加本次三峰靖江港务职工食堂承包项目采购活动前三年内，在经营活动中没有重大违法记录，我公司（单位）愿针对本次三峰靖江港务职工食堂承包项目进行投标，投标文件中所有关于投标资格的文件、证明、陈述均是真实的、准确的。若有违背，我公司（单位）愿意承担由此而产生的一切后果。</w:t>
      </w:r>
    </w:p>
    <w:p>
      <w:pPr>
        <w:spacing w:line="480" w:lineRule="auto"/>
        <w:rPr>
          <w:rFonts w:ascii="宋体" w:hAnsi="Times New Roman" w:eastAsia="Times New Roman"/>
          <w:sz w:val="24"/>
          <w:szCs w:val="20"/>
        </w:rPr>
      </w:pPr>
    </w:p>
    <w:p>
      <w:pPr>
        <w:spacing w:line="480" w:lineRule="auto"/>
        <w:rPr>
          <w:rFonts w:ascii="宋体" w:hAnsi="Times New Roman" w:eastAsia="Times New Roman"/>
          <w:sz w:val="24"/>
          <w:szCs w:val="20"/>
        </w:rPr>
      </w:pPr>
      <w:r>
        <w:rPr>
          <w:rFonts w:hint="eastAsia" w:ascii="宋体" w:hAnsi="宋体"/>
          <w:sz w:val="24"/>
          <w:szCs w:val="20"/>
        </w:rPr>
        <w:t>投标人（盖章）：</w:t>
      </w:r>
    </w:p>
    <w:p>
      <w:pPr>
        <w:spacing w:line="480" w:lineRule="auto"/>
        <w:rPr>
          <w:rFonts w:ascii="宋体" w:hAnsi="Times New Roman" w:eastAsia="Times New Roman"/>
          <w:sz w:val="24"/>
          <w:szCs w:val="20"/>
        </w:rPr>
      </w:pPr>
      <w:r>
        <w:rPr>
          <w:rFonts w:hint="eastAsia" w:ascii="宋体" w:hAnsi="宋体"/>
          <w:sz w:val="24"/>
          <w:szCs w:val="20"/>
        </w:rPr>
        <w:t>法定代表人或法定代表人授权代表（签字或盖章）：</w:t>
      </w:r>
    </w:p>
    <w:p>
      <w:pPr>
        <w:pStyle w:val="2"/>
        <w:ind w:firstLine="0"/>
        <w:rPr>
          <w:kern w:val="2"/>
        </w:rPr>
      </w:pPr>
      <w:r>
        <w:rPr>
          <w:rFonts w:hint="eastAsia"/>
          <w:kern w:val="2"/>
        </w:rPr>
        <w:t xml:space="preserve">日 </w:t>
      </w:r>
      <w:r>
        <w:rPr>
          <w:kern w:val="2"/>
        </w:rPr>
        <w:t xml:space="preserve">  </w:t>
      </w:r>
      <w:r>
        <w:rPr>
          <w:rFonts w:hint="eastAsia"/>
          <w:kern w:val="2"/>
        </w:rPr>
        <w:t>期：</w:t>
      </w: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jc w:val="center"/>
        <w:rPr>
          <w:rFonts w:ascii="黑体" w:hAnsi="Times New Roman" w:eastAsia="黑体"/>
          <w:kern w:val="2"/>
          <w:sz w:val="28"/>
        </w:rPr>
      </w:pPr>
      <w:r>
        <w:rPr>
          <w:rFonts w:hint="eastAsia" w:ascii="黑体" w:hAnsi="Times New Roman" w:eastAsia="黑体"/>
          <w:kern w:val="2"/>
          <w:sz w:val="28"/>
        </w:rPr>
        <w:t>法定代表人授权委托书</w:t>
      </w:r>
    </w:p>
    <w:p>
      <w:pPr>
        <w:pStyle w:val="2"/>
      </w:pPr>
    </w:p>
    <w:p>
      <w:pPr>
        <w:pStyle w:val="2"/>
        <w:ind w:firstLine="0"/>
      </w:pPr>
      <w:r>
        <w:rPr>
          <w:rFonts w:hint="eastAsia"/>
        </w:rPr>
        <w:t>三峰靖江港务物流有限责任公司：</w:t>
      </w:r>
    </w:p>
    <w:p>
      <w:pPr>
        <w:pStyle w:val="2"/>
        <w:ind w:firstLine="0"/>
      </w:pPr>
      <w:r>
        <w:rPr>
          <w:rFonts w:hint="eastAsia"/>
        </w:rPr>
        <w:t>系中华人民共和国合法公司（单位），特授权代表我公司（单位）全权办理针对本项目（     ）的投标、参与开标、评标、签约等具体工作，并签署全部有关的文件、协议及合同。</w:t>
      </w:r>
    </w:p>
    <w:p>
      <w:pPr>
        <w:pStyle w:val="2"/>
        <w:ind w:firstLine="0"/>
      </w:pPr>
      <w:r>
        <w:rPr>
          <w:rFonts w:hint="eastAsia"/>
        </w:rPr>
        <w:t>我公司（单位）对被授权代表的签名负全部责任。</w:t>
      </w:r>
    </w:p>
    <w:p>
      <w:pPr>
        <w:pStyle w:val="2"/>
        <w:ind w:firstLine="0"/>
      </w:pPr>
      <w:r>
        <w:rPr>
          <w:rFonts w:hint="eastAsia"/>
        </w:rPr>
        <w:t>在撤销授权的书面通知送达你处以前，本授权书一直有效，被授权代表签署的所有文件（在授权书有效期内签署的）不因授权的撤销而失效。</w:t>
      </w:r>
    </w:p>
    <w:p>
      <w:pPr>
        <w:pStyle w:val="2"/>
        <w:ind w:firstLine="0"/>
      </w:pPr>
      <w:r>
        <w:rPr>
          <w:rFonts w:hint="eastAsia"/>
        </w:rPr>
        <w:t>被授权代表情况：</w:t>
      </w:r>
    </w:p>
    <w:p>
      <w:pPr>
        <w:pStyle w:val="2"/>
        <w:ind w:firstLine="0"/>
      </w:pPr>
      <w:r>
        <w:rPr>
          <w:rFonts w:hint="eastAsia"/>
        </w:rPr>
        <w:t>姓名：</w:t>
      </w:r>
    </w:p>
    <w:p>
      <w:pPr>
        <w:pStyle w:val="2"/>
        <w:ind w:firstLine="0"/>
      </w:pPr>
      <w:r>
        <w:rPr>
          <w:rFonts w:hint="eastAsia"/>
        </w:rPr>
        <w:t>性别：</w:t>
      </w:r>
    </w:p>
    <w:p>
      <w:pPr>
        <w:pStyle w:val="2"/>
        <w:ind w:firstLine="0"/>
      </w:pPr>
      <w:r>
        <w:rPr>
          <w:rFonts w:hint="eastAsia"/>
        </w:rPr>
        <w:t>电话：</w:t>
      </w:r>
    </w:p>
    <w:p>
      <w:pPr>
        <w:pStyle w:val="2"/>
        <w:ind w:firstLine="0"/>
      </w:pPr>
    </w:p>
    <w:p>
      <w:pPr>
        <w:pStyle w:val="2"/>
        <w:ind w:firstLine="0"/>
      </w:pPr>
    </w:p>
    <w:p>
      <w:pPr>
        <w:pStyle w:val="2"/>
        <w:ind w:firstLine="0"/>
      </w:pPr>
      <w:r>
        <w:rPr>
          <w:rFonts w:hint="eastAsia"/>
        </w:rPr>
        <w:t>单位名称（盖章）：</w:t>
      </w:r>
    </w:p>
    <w:p>
      <w:pPr>
        <w:pStyle w:val="2"/>
        <w:ind w:firstLine="0"/>
        <w:rPr>
          <w:kern w:val="2"/>
        </w:rPr>
      </w:pPr>
      <w:r>
        <w:rPr>
          <w:rFonts w:hint="eastAsia"/>
          <w:kern w:val="2"/>
        </w:rPr>
        <w:t>法定代表人（签字或盖章）：</w:t>
      </w:r>
    </w:p>
    <w:p>
      <w:pPr>
        <w:pStyle w:val="2"/>
        <w:ind w:firstLine="0"/>
        <w:rPr>
          <w:kern w:val="2"/>
        </w:rPr>
      </w:pPr>
      <w:r>
        <w:rPr>
          <w:rFonts w:hint="eastAsia"/>
          <w:kern w:val="2"/>
        </w:rPr>
        <w:t>日期：</w:t>
      </w:r>
    </w:p>
    <w:p>
      <w:pPr>
        <w:jc w:val="center"/>
        <w:rPr>
          <w:rFonts w:ascii="黑体" w:hAnsi="Times New Roman" w:eastAsia="黑体"/>
          <w:sz w:val="28"/>
          <w:szCs w:val="20"/>
        </w:rPr>
      </w:pPr>
    </w:p>
    <w:p>
      <w:pPr>
        <w:jc w:val="center"/>
        <w:rPr>
          <w:rFonts w:ascii="黑体" w:hAnsi="Times New Roman" w:eastAsia="黑体"/>
          <w:sz w:val="28"/>
          <w:szCs w:val="20"/>
        </w:rPr>
      </w:pPr>
    </w:p>
    <w:p>
      <w:pPr>
        <w:jc w:val="center"/>
        <w:rPr>
          <w:rFonts w:ascii="黑体" w:hAnsi="Times New Roman" w:eastAsia="黑体"/>
          <w:sz w:val="28"/>
          <w:szCs w:val="20"/>
        </w:rPr>
      </w:pPr>
    </w:p>
    <w:p>
      <w:pPr>
        <w:jc w:val="center"/>
        <w:rPr>
          <w:rFonts w:ascii="黑体" w:hAnsi="Times New Roman" w:eastAsia="黑体"/>
          <w:sz w:val="28"/>
          <w:szCs w:val="20"/>
        </w:rPr>
      </w:pPr>
    </w:p>
    <w:p>
      <w:pPr>
        <w:jc w:val="center"/>
        <w:rPr>
          <w:rFonts w:ascii="黑体" w:hAnsi="Times New Roman" w:eastAsia="黑体"/>
          <w:sz w:val="28"/>
          <w:szCs w:val="20"/>
        </w:rPr>
      </w:pPr>
    </w:p>
    <w:p>
      <w:pPr>
        <w:jc w:val="center"/>
        <w:rPr>
          <w:rFonts w:ascii="黑体" w:hAnsi="Times New Roman" w:eastAsia="黑体"/>
          <w:sz w:val="28"/>
          <w:szCs w:val="20"/>
        </w:rPr>
      </w:pPr>
    </w:p>
    <w:p>
      <w:pPr>
        <w:rPr>
          <w:rFonts w:ascii="黑体" w:hAnsi="Times New Roman" w:eastAsia="黑体"/>
          <w:sz w:val="28"/>
          <w:szCs w:val="20"/>
        </w:rPr>
      </w:pPr>
    </w:p>
    <w:p>
      <w:pPr>
        <w:jc w:val="center"/>
        <w:rPr>
          <w:rFonts w:ascii="黑体" w:hAnsi="Times New Roman" w:eastAsia="黑体"/>
          <w:sz w:val="28"/>
          <w:szCs w:val="20"/>
        </w:rPr>
      </w:pPr>
      <w:r>
        <w:rPr>
          <w:rFonts w:hint="eastAsia" w:ascii="黑体" w:hAnsi="Times New Roman" w:eastAsia="黑体"/>
          <w:sz w:val="28"/>
          <w:szCs w:val="20"/>
        </w:rPr>
        <w:t>承诺书</w:t>
      </w:r>
    </w:p>
    <w:p>
      <w:pPr>
        <w:jc w:val="center"/>
        <w:rPr>
          <w:rFonts w:ascii="黑体" w:hAnsi="Times New Roman" w:eastAsia="黑体"/>
          <w:sz w:val="28"/>
          <w:szCs w:val="20"/>
        </w:rPr>
      </w:pPr>
    </w:p>
    <w:p>
      <w:pPr>
        <w:spacing w:line="480" w:lineRule="auto"/>
        <w:rPr>
          <w:rFonts w:ascii="宋体" w:hAnsi="Times New Roman"/>
          <w:sz w:val="24"/>
          <w:szCs w:val="20"/>
        </w:rPr>
      </w:pPr>
      <w:r>
        <w:rPr>
          <w:rFonts w:hint="eastAsia" w:ascii="宋体" w:hAnsi="宋体"/>
          <w:sz w:val="24"/>
          <w:szCs w:val="20"/>
        </w:rPr>
        <w:t>（投标人名称）在此承诺：</w:t>
      </w:r>
    </w:p>
    <w:p>
      <w:pPr>
        <w:spacing w:line="480" w:lineRule="auto"/>
        <w:ind w:firstLine="480" w:firstLineChars="200"/>
        <w:rPr>
          <w:rFonts w:ascii="宋体" w:hAnsi="Times New Roman" w:eastAsia="Times New Roman"/>
          <w:sz w:val="24"/>
          <w:szCs w:val="20"/>
        </w:rPr>
      </w:pPr>
      <w:r>
        <w:rPr>
          <w:rFonts w:hint="eastAsia" w:ascii="宋体" w:hAnsi="宋体"/>
          <w:sz w:val="24"/>
          <w:szCs w:val="20"/>
        </w:rPr>
        <w:t>本公司（单位）具备履行合同所必需的设备和专业技术能力；</w:t>
      </w:r>
    </w:p>
    <w:p>
      <w:pPr>
        <w:spacing w:line="480" w:lineRule="auto"/>
        <w:ind w:firstLine="480" w:firstLineChars="200"/>
        <w:rPr>
          <w:rFonts w:ascii="宋体" w:hAnsi="Times New Roman" w:eastAsia="Times New Roman"/>
          <w:sz w:val="24"/>
          <w:szCs w:val="20"/>
        </w:rPr>
      </w:pPr>
      <w:r>
        <w:rPr>
          <w:rFonts w:hint="eastAsia" w:ascii="宋体" w:hAnsi="宋体"/>
          <w:sz w:val="24"/>
          <w:szCs w:val="20"/>
        </w:rPr>
        <w:t>如违背上述承诺，本公司（单位）将承担一切法律责任。</w:t>
      </w:r>
    </w:p>
    <w:p>
      <w:pPr>
        <w:spacing w:line="480" w:lineRule="auto"/>
        <w:rPr>
          <w:rFonts w:ascii="宋体" w:hAnsi="Times New Roman" w:eastAsia="Times New Roman"/>
          <w:sz w:val="24"/>
          <w:szCs w:val="20"/>
        </w:rPr>
      </w:pPr>
    </w:p>
    <w:p>
      <w:pPr>
        <w:spacing w:line="480" w:lineRule="auto"/>
        <w:ind w:firstLine="5400" w:firstLineChars="2250"/>
        <w:rPr>
          <w:rFonts w:ascii="宋体" w:hAnsi="Times New Roman" w:eastAsia="Times New Roman"/>
          <w:sz w:val="24"/>
          <w:szCs w:val="20"/>
        </w:rPr>
      </w:pPr>
    </w:p>
    <w:p>
      <w:pPr>
        <w:spacing w:line="480" w:lineRule="auto"/>
        <w:rPr>
          <w:rFonts w:ascii="宋体" w:hAnsi="Times New Roman" w:eastAsia="Times New Roman"/>
          <w:sz w:val="24"/>
          <w:szCs w:val="20"/>
        </w:rPr>
      </w:pPr>
      <w:r>
        <w:rPr>
          <w:rFonts w:hint="eastAsia" w:ascii="宋体" w:hAnsi="宋体"/>
          <w:sz w:val="24"/>
          <w:szCs w:val="20"/>
        </w:rPr>
        <w:t>投标人（盖章）：</w:t>
      </w:r>
    </w:p>
    <w:p>
      <w:pPr>
        <w:spacing w:line="480" w:lineRule="auto"/>
        <w:rPr>
          <w:rFonts w:ascii="宋体" w:hAnsi="Times New Roman" w:eastAsia="Times New Roman"/>
          <w:sz w:val="24"/>
          <w:szCs w:val="20"/>
        </w:rPr>
      </w:pPr>
      <w:r>
        <w:rPr>
          <w:rFonts w:hint="eastAsia" w:ascii="宋体" w:hAnsi="宋体"/>
          <w:sz w:val="24"/>
          <w:szCs w:val="20"/>
        </w:rPr>
        <w:t>法定代表人或法定代表人授权代表签字或盖章：</w:t>
      </w:r>
    </w:p>
    <w:p>
      <w:pPr>
        <w:rPr>
          <w:rFonts w:ascii="黑体" w:hAnsi="Times New Roman" w:eastAsia="黑体"/>
          <w:sz w:val="32"/>
          <w:szCs w:val="20"/>
        </w:rPr>
      </w:pPr>
      <w:r>
        <w:rPr>
          <w:rFonts w:hint="eastAsia" w:ascii="宋体" w:hAnsi="宋体"/>
          <w:sz w:val="24"/>
          <w:szCs w:val="20"/>
        </w:rPr>
        <w:t>日   期：</w:t>
      </w: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0"/>
        <w:rPr>
          <w:kern w:val="2"/>
        </w:rPr>
      </w:pPr>
    </w:p>
    <w:p>
      <w:pPr>
        <w:pStyle w:val="2"/>
        <w:ind w:firstLine="3080" w:firstLineChars="1100"/>
        <w:rPr>
          <w:rFonts w:ascii="黑体" w:hAnsi="Times New Roman" w:eastAsia="黑体"/>
          <w:kern w:val="2"/>
          <w:sz w:val="28"/>
        </w:rPr>
      </w:pPr>
    </w:p>
    <w:p>
      <w:pPr>
        <w:pStyle w:val="2"/>
        <w:ind w:firstLine="3080" w:firstLineChars="1100"/>
        <w:rPr>
          <w:rFonts w:ascii="黑体" w:hAnsi="Times New Roman" w:eastAsia="黑体"/>
          <w:kern w:val="2"/>
          <w:sz w:val="28"/>
        </w:rPr>
      </w:pPr>
      <w:r>
        <w:rPr>
          <w:rFonts w:hint="eastAsia" w:ascii="黑体" w:hAnsi="Times New Roman" w:eastAsia="黑体"/>
          <w:kern w:val="2"/>
          <w:sz w:val="28"/>
        </w:rPr>
        <w:t>服务应答承诺书</w:t>
      </w:r>
    </w:p>
    <w:p>
      <w:pPr>
        <w:pStyle w:val="2"/>
      </w:pPr>
    </w:p>
    <w:p>
      <w:pPr>
        <w:pStyle w:val="2"/>
        <w:ind w:firstLine="0"/>
      </w:pPr>
      <w:r>
        <w:rPr>
          <w:rFonts w:hint="eastAsia"/>
        </w:rPr>
        <w:t>（投标人名称）在此承诺：</w:t>
      </w:r>
    </w:p>
    <w:p>
      <w:pPr>
        <w:pStyle w:val="2"/>
        <w:ind w:firstLine="480" w:firstLineChars="200"/>
      </w:pPr>
      <w:r>
        <w:rPr>
          <w:rFonts w:hint="eastAsia"/>
        </w:rPr>
        <w:t>本公司（单位）响应招标文件服务要求规定的相关事项；</w:t>
      </w:r>
    </w:p>
    <w:p>
      <w:pPr>
        <w:pStyle w:val="2"/>
        <w:ind w:firstLine="480" w:firstLineChars="200"/>
      </w:pPr>
      <w:r>
        <w:rPr>
          <w:rFonts w:hint="eastAsia"/>
        </w:rPr>
        <w:t>如违背上述承诺，本公司（单位）将承担一切法律责任。</w:t>
      </w:r>
    </w:p>
    <w:p>
      <w:pPr>
        <w:pStyle w:val="2"/>
      </w:pPr>
    </w:p>
    <w:p>
      <w:pPr>
        <w:pStyle w:val="2"/>
      </w:pPr>
    </w:p>
    <w:p>
      <w:pPr>
        <w:pStyle w:val="2"/>
      </w:pPr>
      <w:r>
        <w:rPr>
          <w:rFonts w:hint="eastAsia"/>
        </w:rPr>
        <w:t>投标人（盖章）：</w:t>
      </w:r>
    </w:p>
    <w:p>
      <w:pPr>
        <w:pStyle w:val="2"/>
      </w:pPr>
      <w:r>
        <w:rPr>
          <w:rFonts w:hint="eastAsia"/>
        </w:rPr>
        <w:t>法定代表人或法定代表人授权代表签字或盖章：</w:t>
      </w:r>
    </w:p>
    <w:p>
      <w:pPr>
        <w:pStyle w:val="2"/>
      </w:pPr>
      <w:r>
        <w:rPr>
          <w:rFonts w:hint="eastAsia"/>
        </w:rPr>
        <w:t>日   期：</w:t>
      </w:r>
    </w:p>
    <w:p>
      <w:pPr>
        <w:pStyle w:val="2"/>
        <w:ind w:firstLine="0"/>
        <w:rPr>
          <w:kern w:val="2"/>
        </w:rPr>
      </w:pPr>
    </w:p>
    <w:sectPr>
      <w:pgSz w:w="11906" w:h="16838"/>
      <w:pgMar w:top="102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07A38"/>
    <w:multiLevelType w:val="multilevel"/>
    <w:tmpl w:val="64607A38"/>
    <w:lvl w:ilvl="0" w:tentative="0">
      <w:start w:val="1"/>
      <w:numFmt w:val="japaneseCounting"/>
      <w:lvlText w:val="%1、"/>
      <w:lvlJc w:val="left"/>
      <w:pPr>
        <w:tabs>
          <w:tab w:val="left" w:pos="552"/>
        </w:tabs>
        <w:ind w:left="552" w:hanging="420"/>
      </w:pPr>
      <w:rPr>
        <w:rFonts w:hint="default" w:ascii="Times New Roman" w:hAnsi="Times New Roman" w:eastAsia="Times New Roman"/>
        <w:color w:val="auto"/>
      </w:rPr>
    </w:lvl>
    <w:lvl w:ilvl="1" w:tentative="0">
      <w:start w:val="1"/>
      <w:numFmt w:val="lowerLetter"/>
      <w:lvlText w:val="%2)"/>
      <w:lvlJc w:val="left"/>
      <w:pPr>
        <w:tabs>
          <w:tab w:val="left" w:pos="840"/>
        </w:tabs>
        <w:ind w:left="840" w:hanging="420"/>
      </w:pPr>
      <w:rPr>
        <w:rFonts w:hint="default" w:ascii="Times New Roman"/>
      </w:rPr>
    </w:lvl>
    <w:lvl w:ilvl="2" w:tentative="0">
      <w:start w:val="10"/>
      <w:numFmt w:val="decimal"/>
      <w:lvlText w:val="%3."/>
      <w:lvlJc w:val="left"/>
      <w:pPr>
        <w:tabs>
          <w:tab w:val="left" w:pos="1200"/>
        </w:tabs>
        <w:ind w:left="1200" w:hanging="360"/>
      </w:pPr>
      <w:rPr>
        <w:rFonts w:hint="default" w:ascii="Times New Roman"/>
      </w:rPr>
    </w:lvl>
    <w:lvl w:ilvl="3" w:tentative="0">
      <w:start w:val="1"/>
      <w:numFmt w:val="decimal"/>
      <w:lvlText w:val="%4."/>
      <w:lvlJc w:val="left"/>
      <w:pPr>
        <w:tabs>
          <w:tab w:val="left" w:pos="1680"/>
        </w:tabs>
        <w:ind w:left="1680" w:hanging="420"/>
      </w:pPr>
      <w:rPr>
        <w:rFonts w:hint="default" w:ascii="Times New Roman"/>
      </w:rPr>
    </w:lvl>
    <w:lvl w:ilvl="4" w:tentative="0">
      <w:start w:val="1"/>
      <w:numFmt w:val="lowerLetter"/>
      <w:lvlText w:val="%5)"/>
      <w:lvlJc w:val="left"/>
      <w:pPr>
        <w:tabs>
          <w:tab w:val="left" w:pos="2100"/>
        </w:tabs>
        <w:ind w:left="2100" w:hanging="420"/>
      </w:pPr>
      <w:rPr>
        <w:rFonts w:hint="default" w:ascii="Times New Roman"/>
      </w:rPr>
    </w:lvl>
    <w:lvl w:ilvl="5" w:tentative="0">
      <w:start w:val="1"/>
      <w:numFmt w:val="lowerRoman"/>
      <w:lvlText w:val="%6."/>
      <w:lvlJc w:val="right"/>
      <w:pPr>
        <w:tabs>
          <w:tab w:val="left" w:pos="2520"/>
        </w:tabs>
        <w:ind w:left="2520" w:hanging="420"/>
      </w:pPr>
      <w:rPr>
        <w:rFonts w:hint="default" w:ascii="Times New Roman"/>
      </w:rPr>
    </w:lvl>
    <w:lvl w:ilvl="6" w:tentative="0">
      <w:start w:val="1"/>
      <w:numFmt w:val="decimal"/>
      <w:lvlText w:val="%7."/>
      <w:lvlJc w:val="left"/>
      <w:pPr>
        <w:tabs>
          <w:tab w:val="left" w:pos="2940"/>
        </w:tabs>
        <w:ind w:left="2940" w:hanging="420"/>
      </w:pPr>
      <w:rPr>
        <w:rFonts w:hint="default" w:ascii="Times New Roman"/>
      </w:rPr>
    </w:lvl>
    <w:lvl w:ilvl="7" w:tentative="0">
      <w:start w:val="1"/>
      <w:numFmt w:val="lowerLetter"/>
      <w:lvlText w:val="%8)"/>
      <w:lvlJc w:val="left"/>
      <w:pPr>
        <w:tabs>
          <w:tab w:val="left" w:pos="3360"/>
        </w:tabs>
        <w:ind w:left="3360" w:hanging="420"/>
      </w:pPr>
      <w:rPr>
        <w:rFonts w:hint="default" w:ascii="Times New Roman"/>
      </w:rPr>
    </w:lvl>
    <w:lvl w:ilvl="8" w:tentative="0">
      <w:start w:val="1"/>
      <w:numFmt w:val="lowerRoman"/>
      <w:lvlText w:val="%9."/>
      <w:lvlJc w:val="right"/>
      <w:pPr>
        <w:tabs>
          <w:tab w:val="left" w:pos="3780"/>
        </w:tabs>
        <w:ind w:left="3780" w:hanging="420"/>
      </w:pPr>
      <w:rPr>
        <w:rFonts w:hint="default" w:asci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5OGJlYTljZWE4NmJlYTUwYTg5ZDM2ZjkwNzI2YzcifQ=="/>
  </w:docVars>
  <w:rsids>
    <w:rsidRoot w:val="7A026A47"/>
    <w:rsid w:val="000019D3"/>
    <w:rsid w:val="0000204C"/>
    <w:rsid w:val="000138AE"/>
    <w:rsid w:val="000333A2"/>
    <w:rsid w:val="00035AED"/>
    <w:rsid w:val="000368B5"/>
    <w:rsid w:val="00051944"/>
    <w:rsid w:val="00081F7A"/>
    <w:rsid w:val="00085462"/>
    <w:rsid w:val="00095870"/>
    <w:rsid w:val="000A39F2"/>
    <w:rsid w:val="000B3502"/>
    <w:rsid w:val="000D2495"/>
    <w:rsid w:val="00104D64"/>
    <w:rsid w:val="00125732"/>
    <w:rsid w:val="001625BC"/>
    <w:rsid w:val="00173149"/>
    <w:rsid w:val="0018563F"/>
    <w:rsid w:val="002577AC"/>
    <w:rsid w:val="00294EEB"/>
    <w:rsid w:val="002D2DCD"/>
    <w:rsid w:val="003152D6"/>
    <w:rsid w:val="00331E83"/>
    <w:rsid w:val="0036280C"/>
    <w:rsid w:val="0038104E"/>
    <w:rsid w:val="003A2091"/>
    <w:rsid w:val="003C0B19"/>
    <w:rsid w:val="003F3CDF"/>
    <w:rsid w:val="004A1B8E"/>
    <w:rsid w:val="004A438C"/>
    <w:rsid w:val="004B367C"/>
    <w:rsid w:val="004C6114"/>
    <w:rsid w:val="005018EF"/>
    <w:rsid w:val="00502813"/>
    <w:rsid w:val="005137F7"/>
    <w:rsid w:val="005210C8"/>
    <w:rsid w:val="00522E3B"/>
    <w:rsid w:val="0056318E"/>
    <w:rsid w:val="005666A5"/>
    <w:rsid w:val="005771AF"/>
    <w:rsid w:val="005B0711"/>
    <w:rsid w:val="005C3409"/>
    <w:rsid w:val="005E7D49"/>
    <w:rsid w:val="0064292E"/>
    <w:rsid w:val="006442C6"/>
    <w:rsid w:val="00644F1E"/>
    <w:rsid w:val="00663B2A"/>
    <w:rsid w:val="00671DE2"/>
    <w:rsid w:val="00686CF3"/>
    <w:rsid w:val="006C1C26"/>
    <w:rsid w:val="00714FF1"/>
    <w:rsid w:val="0075762E"/>
    <w:rsid w:val="00757760"/>
    <w:rsid w:val="007C1041"/>
    <w:rsid w:val="007D4F74"/>
    <w:rsid w:val="007E0268"/>
    <w:rsid w:val="007F372A"/>
    <w:rsid w:val="008651CC"/>
    <w:rsid w:val="00867499"/>
    <w:rsid w:val="00875E34"/>
    <w:rsid w:val="008862A0"/>
    <w:rsid w:val="008B45B4"/>
    <w:rsid w:val="008D3586"/>
    <w:rsid w:val="00901DCC"/>
    <w:rsid w:val="00911C88"/>
    <w:rsid w:val="00942A42"/>
    <w:rsid w:val="009578BA"/>
    <w:rsid w:val="00987562"/>
    <w:rsid w:val="009A4C62"/>
    <w:rsid w:val="009A57A1"/>
    <w:rsid w:val="009E3F76"/>
    <w:rsid w:val="00A1770C"/>
    <w:rsid w:val="00A356B6"/>
    <w:rsid w:val="00A51A63"/>
    <w:rsid w:val="00AB3CA3"/>
    <w:rsid w:val="00AD00EE"/>
    <w:rsid w:val="00AD4DDB"/>
    <w:rsid w:val="00AF630A"/>
    <w:rsid w:val="00B00EB6"/>
    <w:rsid w:val="00B34790"/>
    <w:rsid w:val="00B55331"/>
    <w:rsid w:val="00B75E02"/>
    <w:rsid w:val="00B965F5"/>
    <w:rsid w:val="00C12388"/>
    <w:rsid w:val="00C326F0"/>
    <w:rsid w:val="00C5005D"/>
    <w:rsid w:val="00C632A6"/>
    <w:rsid w:val="00C7094B"/>
    <w:rsid w:val="00CE778B"/>
    <w:rsid w:val="00D16103"/>
    <w:rsid w:val="00D21FAB"/>
    <w:rsid w:val="00D372EB"/>
    <w:rsid w:val="00D55120"/>
    <w:rsid w:val="00D64C32"/>
    <w:rsid w:val="00D77EEB"/>
    <w:rsid w:val="00D861A2"/>
    <w:rsid w:val="00E27ED9"/>
    <w:rsid w:val="00E7219C"/>
    <w:rsid w:val="00E76E55"/>
    <w:rsid w:val="00EC7C61"/>
    <w:rsid w:val="00ED01BE"/>
    <w:rsid w:val="00ED6AFF"/>
    <w:rsid w:val="00EE6A84"/>
    <w:rsid w:val="00EE767F"/>
    <w:rsid w:val="00EF3762"/>
    <w:rsid w:val="00EF7210"/>
    <w:rsid w:val="00F07984"/>
    <w:rsid w:val="00F10877"/>
    <w:rsid w:val="00F4633C"/>
    <w:rsid w:val="00F72736"/>
    <w:rsid w:val="00F7517F"/>
    <w:rsid w:val="00F752A7"/>
    <w:rsid w:val="00F95B17"/>
    <w:rsid w:val="00FC3FE3"/>
    <w:rsid w:val="00FE45A9"/>
    <w:rsid w:val="00FE768B"/>
    <w:rsid w:val="00FF0297"/>
    <w:rsid w:val="00FF0ACF"/>
    <w:rsid w:val="00FF1BC4"/>
    <w:rsid w:val="00FF48B2"/>
    <w:rsid w:val="02AA2C8B"/>
    <w:rsid w:val="0A264389"/>
    <w:rsid w:val="104E00A8"/>
    <w:rsid w:val="1BE14E17"/>
    <w:rsid w:val="1C675139"/>
    <w:rsid w:val="1C8F1044"/>
    <w:rsid w:val="1D7C3FCB"/>
    <w:rsid w:val="1EC139F0"/>
    <w:rsid w:val="21D743E7"/>
    <w:rsid w:val="225A7EA5"/>
    <w:rsid w:val="2C3B3C3D"/>
    <w:rsid w:val="2EB6304B"/>
    <w:rsid w:val="33DD1CBC"/>
    <w:rsid w:val="34DE1E41"/>
    <w:rsid w:val="34E06AEF"/>
    <w:rsid w:val="39B758D3"/>
    <w:rsid w:val="3C554CA8"/>
    <w:rsid w:val="3D770983"/>
    <w:rsid w:val="3DA6046F"/>
    <w:rsid w:val="463813E2"/>
    <w:rsid w:val="5FEB541A"/>
    <w:rsid w:val="621341AC"/>
    <w:rsid w:val="67FE6C81"/>
    <w:rsid w:val="69571A0C"/>
    <w:rsid w:val="748F2926"/>
    <w:rsid w:val="751D6302"/>
    <w:rsid w:val="771145F1"/>
    <w:rsid w:val="79BE2013"/>
    <w:rsid w:val="7A026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unhideWhenUsed/>
    <w:qFormat/>
    <w:uiPriority w:val="0"/>
    <w:pPr>
      <w:spacing w:after="120"/>
    </w:pPr>
    <w:rPr>
      <w:kern w:val="0"/>
      <w:sz w:val="20"/>
      <w:szCs w:val="20"/>
    </w:rPr>
  </w:style>
  <w:style w:type="paragraph" w:styleId="4">
    <w:name w:val="Date"/>
    <w:basedOn w:val="1"/>
    <w:next w:val="1"/>
    <w:link w:val="13"/>
    <w:uiPriority w:val="0"/>
    <w:pPr>
      <w:ind w:left="100" w:leftChars="250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1_2"/>
    <w:basedOn w:val="1"/>
    <w:next w:val="1"/>
    <w:qFormat/>
    <w:uiPriority w:val="0"/>
    <w:pPr>
      <w:keepNext/>
      <w:keepLines/>
      <w:pageBreakBefore/>
      <w:spacing w:line="360" w:lineRule="auto"/>
      <w:jc w:val="center"/>
      <w:outlineLvl w:val="0"/>
    </w:pPr>
    <w:rPr>
      <w:b/>
      <w:bCs/>
      <w:kern w:val="44"/>
      <w:sz w:val="44"/>
      <w:szCs w:val="44"/>
    </w:rPr>
  </w:style>
  <w:style w:type="character" w:customStyle="1" w:styleId="11">
    <w:name w:val="页眉 Char"/>
    <w:basedOn w:val="9"/>
    <w:link w:val="6"/>
    <w:uiPriority w:val="0"/>
    <w:rPr>
      <w:rFonts w:ascii="Calibri" w:hAnsi="Calibri"/>
      <w:kern w:val="2"/>
      <w:sz w:val="18"/>
      <w:szCs w:val="18"/>
    </w:rPr>
  </w:style>
  <w:style w:type="character" w:customStyle="1" w:styleId="12">
    <w:name w:val="页脚 Char"/>
    <w:basedOn w:val="9"/>
    <w:link w:val="5"/>
    <w:qFormat/>
    <w:uiPriority w:val="0"/>
    <w:rPr>
      <w:rFonts w:ascii="Calibri" w:hAnsi="Calibri"/>
      <w:kern w:val="2"/>
      <w:sz w:val="18"/>
      <w:szCs w:val="18"/>
    </w:rPr>
  </w:style>
  <w:style w:type="character" w:customStyle="1" w:styleId="13">
    <w:name w:val="日期 Char"/>
    <w:basedOn w:val="9"/>
    <w:link w:val="4"/>
    <w:uiPriority w:val="0"/>
    <w:rPr>
      <w:rFonts w:ascii="Calibri" w:hAnsi="Calibri"/>
      <w:kern w:val="2"/>
      <w:sz w:val="21"/>
      <w:szCs w:val="2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4827</Words>
  <Characters>4939</Characters>
  <Lines>36</Lines>
  <Paragraphs>10</Paragraphs>
  <TotalTime>3</TotalTime>
  <ScaleCrop>false</ScaleCrop>
  <LinksUpToDate>false</LinksUpToDate>
  <CharactersWithSpaces>5001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2021-04-28T06:59:00Z</dcterms:created>
  <dc:creator>别致的柔情ゝ</dc:creator>
  <cp:lastModifiedBy>别致的柔情ゝ</cp:lastModifiedBy>
  <cp:lastPrinted>2021-04-22T07:31:00Z</cp:lastPrinted>
  <dcterms:modified xsi:type="dcterms:W3CDTF">2022-11-23T02:23:27Z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D33869AF0CD848C3BBDA728C56CEBCA4</vt:lpwstr>
  </property>
</Properties>
</file>