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left"/>
        <w:rPr>
          <w:rFonts w:ascii="宋体" w:hAnsi="宋体" w:eastAsia="宋体" w:cs="宋体"/>
          <w:color w:val="000000"/>
          <w:kern w:val="0"/>
          <w:sz w:val="24"/>
          <w:szCs w:val="24"/>
        </w:rPr>
      </w:pPr>
    </w:p>
    <w:p>
      <w:pPr>
        <w:rPr>
          <w:rFonts w:ascii="宋体" w:hAnsi="宋体" w:eastAsia="宋体" w:cs="宋体"/>
          <w:color w:val="000000"/>
          <w:highlight w:val="yellow"/>
        </w:rPr>
      </w:pPr>
      <w:bookmarkStart w:id="0" w:name="EBce946293528d42149d6ec34d99d11ef5"/>
      <w:r>
        <w:rPr>
          <w:rFonts w:hint="eastAsia" w:ascii="宋体" w:hAnsi="宋体" w:eastAsia="宋体" w:cs="宋体"/>
          <w:color w:val="000000"/>
          <w:sz w:val="20"/>
          <w:highlight w:val="white"/>
        </w:rPr>
        <w:t xml:space="preserve"> </w:t>
      </w:r>
      <w:bookmarkEnd w:id="0"/>
      <w:bookmarkStart w:id="1" w:name="_Toc19442"/>
      <w:bookmarkStart w:id="2" w:name="_Toc288656291"/>
      <w:bookmarkStart w:id="3" w:name="_Toc309586341"/>
      <w:bookmarkStart w:id="4" w:name="_Toc5819"/>
      <w:bookmarkStart w:id="5" w:name="_Toc367"/>
      <w:bookmarkStart w:id="6" w:name="_Toc15129"/>
    </w:p>
    <w:p>
      <w:pPr>
        <w:spacing w:before="156" w:after="156"/>
        <w:jc w:val="center"/>
        <w:rPr>
          <w:rFonts w:ascii="宋体" w:hAnsi="宋体" w:eastAsia="宋体" w:cs="宋体"/>
          <w:b/>
          <w:color w:val="000000"/>
          <w:sz w:val="44"/>
          <w:szCs w:val="32"/>
        </w:rPr>
      </w:pPr>
      <w:r>
        <w:rPr>
          <w:rFonts w:hint="eastAsia" w:ascii="宋体" w:hAnsi="宋体" w:eastAsia="宋体" w:cs="宋体"/>
          <w:b/>
          <w:color w:val="000000"/>
          <w:sz w:val="44"/>
          <w:szCs w:val="32"/>
          <w:highlight w:val="white"/>
        </w:rPr>
        <w:t>靖江市建设工程施工</w:t>
      </w:r>
    </w:p>
    <w:p>
      <w:pPr>
        <w:spacing w:before="156" w:after="156"/>
        <w:jc w:val="center"/>
        <w:rPr>
          <w:rFonts w:ascii="宋体" w:hAnsi="宋体" w:eastAsia="宋体" w:cs="宋体"/>
          <w:b/>
          <w:color w:val="000000"/>
          <w:sz w:val="32"/>
          <w:szCs w:val="32"/>
          <w:highlight w:val="white"/>
        </w:rPr>
      </w:pPr>
      <w:r>
        <w:rPr>
          <w:rFonts w:hint="eastAsia" w:ascii="宋体" w:hAnsi="宋体" w:eastAsia="宋体" w:cs="宋体"/>
          <w:b/>
          <w:color w:val="000000"/>
          <w:sz w:val="44"/>
          <w:szCs w:val="32"/>
          <w:highlight w:val="white"/>
        </w:rPr>
        <w:t>招 标 文 件</w:t>
      </w:r>
      <w:r>
        <w:rPr>
          <w:rFonts w:hint="eastAsia" w:ascii="宋体" w:hAnsi="宋体" w:eastAsia="宋体" w:cs="宋体"/>
          <w:b/>
          <w:color w:val="000000"/>
          <w:sz w:val="32"/>
          <w:szCs w:val="32"/>
          <w:highlight w:val="white"/>
        </w:rPr>
        <w:t xml:space="preserve">  </w:t>
      </w:r>
    </w:p>
    <w:p>
      <w:pPr>
        <w:spacing w:line="400" w:lineRule="exact"/>
        <w:rPr>
          <w:rFonts w:ascii="宋体" w:hAnsi="宋体" w:eastAsia="宋体" w:cs="宋体"/>
          <w:color w:val="000000"/>
          <w:sz w:val="32"/>
          <w:szCs w:val="32"/>
        </w:rPr>
      </w:pPr>
    </w:p>
    <w:p>
      <w:pPr>
        <w:spacing w:line="400" w:lineRule="exact"/>
        <w:rPr>
          <w:rFonts w:ascii="宋体" w:hAnsi="宋体" w:eastAsia="宋体" w:cs="宋体"/>
          <w:color w:val="000000"/>
          <w:sz w:val="32"/>
          <w:szCs w:val="32"/>
        </w:rPr>
      </w:pPr>
    </w:p>
    <w:p>
      <w:pPr>
        <w:spacing w:line="400" w:lineRule="exact"/>
        <w:rPr>
          <w:rFonts w:ascii="宋体" w:hAnsi="宋体" w:eastAsia="宋体" w:cs="宋体"/>
          <w:color w:val="000000"/>
          <w:sz w:val="32"/>
          <w:szCs w:val="32"/>
        </w:rPr>
      </w:pPr>
    </w:p>
    <w:p>
      <w:pPr>
        <w:pStyle w:val="66"/>
        <w:ind w:firstLine="640"/>
        <w:rPr>
          <w:rFonts w:ascii="宋体" w:hAnsi="宋体" w:eastAsia="宋体" w:cs="宋体"/>
          <w:color w:val="000000"/>
          <w:sz w:val="32"/>
          <w:szCs w:val="32"/>
        </w:rPr>
      </w:pPr>
    </w:p>
    <w:p>
      <w:pPr>
        <w:pStyle w:val="66"/>
        <w:ind w:firstLine="640"/>
        <w:rPr>
          <w:rFonts w:ascii="宋体" w:hAnsi="宋体" w:eastAsia="宋体" w:cs="宋体"/>
          <w:color w:val="000000"/>
          <w:sz w:val="32"/>
          <w:szCs w:val="32"/>
        </w:rPr>
      </w:pPr>
    </w:p>
    <w:p>
      <w:pPr>
        <w:pStyle w:val="66"/>
        <w:ind w:firstLine="640"/>
        <w:rPr>
          <w:rFonts w:ascii="宋体" w:hAnsi="宋体" w:eastAsia="宋体" w:cs="宋体"/>
          <w:color w:val="000000"/>
          <w:sz w:val="32"/>
          <w:szCs w:val="32"/>
        </w:rPr>
      </w:pPr>
    </w:p>
    <w:p>
      <w:pPr>
        <w:spacing w:line="400" w:lineRule="exact"/>
        <w:rPr>
          <w:rFonts w:ascii="宋体" w:hAnsi="宋体" w:eastAsia="宋体" w:cs="宋体"/>
          <w:color w:val="000000"/>
          <w:sz w:val="32"/>
          <w:szCs w:val="32"/>
        </w:rPr>
      </w:pPr>
    </w:p>
    <w:p>
      <w:pPr>
        <w:spacing w:line="400" w:lineRule="exact"/>
        <w:rPr>
          <w:rFonts w:ascii="宋体" w:hAnsi="宋体" w:eastAsia="宋体" w:cs="宋体"/>
          <w:color w:val="000000"/>
          <w:sz w:val="32"/>
          <w:szCs w:val="32"/>
        </w:rPr>
      </w:pPr>
    </w:p>
    <w:p>
      <w:pPr>
        <w:widowControl/>
        <w:jc w:val="left"/>
        <w:rPr>
          <w:rFonts w:ascii="宋体" w:hAnsi="宋体" w:eastAsia="宋体" w:cs="宋体"/>
          <w:b/>
          <w:bCs/>
          <w:color w:val="000000"/>
          <w:sz w:val="32"/>
          <w:szCs w:val="32"/>
          <w:highlight w:val="white"/>
          <w:u w:val="single"/>
        </w:rPr>
      </w:pPr>
      <w:r>
        <w:rPr>
          <w:rFonts w:hint="eastAsia" w:ascii="宋体" w:hAnsi="宋体" w:eastAsia="宋体" w:cs="宋体"/>
          <w:b/>
          <w:bCs/>
          <w:color w:val="000000"/>
          <w:sz w:val="32"/>
          <w:szCs w:val="32"/>
          <w:highlight w:val="white"/>
        </w:rPr>
        <w:t>项目名称：</w:t>
      </w:r>
      <w:r>
        <w:rPr>
          <w:rFonts w:hint="eastAsia" w:ascii="宋体" w:hAnsi="宋体" w:eastAsia="宋体" w:cs="宋体"/>
          <w:b/>
          <w:bCs/>
          <w:color w:val="000000"/>
          <w:sz w:val="32"/>
          <w:szCs w:val="32"/>
          <w:highlight w:val="white"/>
          <w:u w:val="single"/>
        </w:rPr>
        <w:t xml:space="preserve">   </w:t>
      </w:r>
      <w:r>
        <w:rPr>
          <w:rFonts w:ascii="宋体" w:hAnsi="宋体" w:eastAsia="宋体" w:cs="宋体"/>
          <w:b/>
          <w:bCs/>
          <w:color w:val="000000"/>
          <w:sz w:val="32"/>
          <w:szCs w:val="32"/>
          <w:u w:val="single"/>
        </w:rPr>
        <w:t>2#</w:t>
      </w:r>
      <w:r>
        <w:rPr>
          <w:rFonts w:hint="eastAsia" w:ascii="宋体" w:hAnsi="宋体" w:eastAsia="宋体" w:cs="宋体"/>
          <w:b/>
          <w:bCs/>
          <w:color w:val="000000"/>
          <w:sz w:val="32"/>
          <w:szCs w:val="32"/>
          <w:u w:val="single"/>
          <w:lang w:eastAsia="zh-CN"/>
        </w:rPr>
        <w:t>堆场</w:t>
      </w:r>
      <w:r>
        <w:rPr>
          <w:rFonts w:ascii="宋体" w:hAnsi="宋体" w:eastAsia="宋体" w:cs="宋体"/>
          <w:b/>
          <w:bCs/>
          <w:color w:val="000000"/>
          <w:sz w:val="32"/>
          <w:szCs w:val="32"/>
          <w:u w:val="single"/>
        </w:rPr>
        <w:t>修复项目</w:t>
      </w:r>
      <w:r>
        <w:rPr>
          <w:rFonts w:hint="eastAsia" w:ascii="宋体" w:hAnsi="宋体" w:eastAsia="宋体" w:cs="宋体"/>
          <w:b/>
          <w:bCs/>
          <w:color w:val="000000"/>
          <w:sz w:val="32"/>
          <w:szCs w:val="32"/>
          <w:highlight w:val="white"/>
          <w:u w:val="single"/>
        </w:rPr>
        <w:t xml:space="preserve">   </w:t>
      </w:r>
    </w:p>
    <w:p>
      <w:pPr>
        <w:pStyle w:val="66"/>
        <w:ind w:firstLine="420"/>
        <w:rPr>
          <w:b/>
          <w:bCs/>
          <w:lang w:val="en-US"/>
        </w:rPr>
      </w:pPr>
    </w:p>
    <w:p>
      <w:pPr>
        <w:spacing w:before="156" w:after="156" w:line="480" w:lineRule="auto"/>
        <w:jc w:val="left"/>
        <w:rPr>
          <w:rFonts w:ascii="宋体" w:hAnsi="宋体" w:eastAsia="宋体" w:cs="宋体"/>
          <w:b/>
          <w:bCs/>
          <w:color w:val="000000"/>
          <w:sz w:val="32"/>
          <w:szCs w:val="32"/>
          <w:highlight w:val="white"/>
          <w:u w:val="single"/>
        </w:rPr>
      </w:pPr>
      <w:r>
        <w:rPr>
          <w:rFonts w:hint="eastAsia" w:ascii="宋体" w:hAnsi="宋体" w:eastAsia="宋体" w:cs="宋体"/>
          <w:b/>
          <w:bCs/>
          <w:color w:val="000000"/>
          <w:sz w:val="32"/>
          <w:szCs w:val="32"/>
          <w:highlight w:val="white"/>
        </w:rPr>
        <w:t>招标人：</w:t>
      </w:r>
      <w:r>
        <w:rPr>
          <w:rFonts w:hint="eastAsia" w:ascii="宋体" w:hAnsi="宋体" w:eastAsia="宋体" w:cs="宋体"/>
          <w:b/>
          <w:bCs/>
          <w:color w:val="000000"/>
          <w:sz w:val="32"/>
          <w:szCs w:val="32"/>
          <w:u w:val="single"/>
        </w:rPr>
        <w:t xml:space="preserve">三峰靖江港务物流有限责任公司   </w:t>
      </w:r>
    </w:p>
    <w:p>
      <w:pPr>
        <w:pStyle w:val="66"/>
        <w:ind w:firstLine="420"/>
        <w:rPr>
          <w:b/>
          <w:bCs/>
          <w:lang w:val="en-US"/>
        </w:rPr>
      </w:pPr>
    </w:p>
    <w:p>
      <w:pPr>
        <w:spacing w:before="156" w:after="156" w:line="480" w:lineRule="auto"/>
        <w:jc w:val="left"/>
        <w:rPr>
          <w:rFonts w:ascii="宋体" w:hAnsi="宋体" w:eastAsia="宋体" w:cs="宋体"/>
          <w:b/>
          <w:bCs/>
          <w:color w:val="000000"/>
          <w:sz w:val="32"/>
          <w:szCs w:val="32"/>
          <w:u w:val="single"/>
        </w:rPr>
      </w:pPr>
      <w:r>
        <w:rPr>
          <w:rFonts w:hint="eastAsia" w:ascii="宋体" w:hAnsi="宋体" w:eastAsia="宋体" w:cs="宋体"/>
          <w:b/>
          <w:bCs/>
          <w:color w:val="000000"/>
          <w:sz w:val="32"/>
          <w:szCs w:val="32"/>
          <w:highlight w:val="white"/>
        </w:rPr>
        <w:t>招标代理机构：</w:t>
      </w:r>
      <w:r>
        <w:rPr>
          <w:rFonts w:hint="eastAsia" w:ascii="宋体" w:hAnsi="宋体" w:eastAsia="宋体" w:cs="宋体"/>
          <w:b/>
          <w:bCs/>
          <w:color w:val="000000"/>
          <w:sz w:val="32"/>
          <w:szCs w:val="32"/>
          <w:u w:val="single"/>
        </w:rPr>
        <w:t>泰州市皓德工程管理有限公司</w:t>
      </w:r>
    </w:p>
    <w:p>
      <w:pPr>
        <w:pStyle w:val="66"/>
        <w:ind w:firstLine="420"/>
        <w:rPr>
          <w:b/>
          <w:bCs/>
          <w:lang w:val="en-US"/>
        </w:rPr>
      </w:pPr>
    </w:p>
    <w:p>
      <w:pPr>
        <w:pStyle w:val="66"/>
        <w:ind w:firstLine="420"/>
        <w:rPr>
          <w:b/>
          <w:bCs/>
          <w:lang w:val="en-US"/>
        </w:rPr>
      </w:pPr>
    </w:p>
    <w:p>
      <w:pPr>
        <w:jc w:val="center"/>
        <w:rPr>
          <w:rFonts w:ascii="宋体" w:hAnsi="宋体" w:eastAsia="宋体" w:cs="宋体"/>
          <w:b/>
          <w:bCs/>
          <w:color w:val="000000"/>
          <w:sz w:val="32"/>
          <w:szCs w:val="32"/>
        </w:rPr>
      </w:pPr>
      <w:r>
        <w:rPr>
          <w:rFonts w:hint="eastAsia" w:ascii="宋体" w:hAnsi="宋体" w:eastAsia="宋体" w:cs="宋体"/>
          <w:b/>
          <w:bCs/>
          <w:color w:val="000000"/>
          <w:sz w:val="32"/>
          <w:szCs w:val="32"/>
          <w:highlight w:val="white"/>
        </w:rPr>
        <w:t>日　　期：</w:t>
      </w:r>
      <w:bookmarkStart w:id="7" w:name="EB3905e512b92140619239787b9df87a9d"/>
      <w:bookmarkEnd w:id="7"/>
      <w:bookmarkStart w:id="8" w:name="EB4825fb139a1c48e08dcb2e4c347bf6e0"/>
      <w:bookmarkEnd w:id="8"/>
      <w:r>
        <w:rPr>
          <w:rFonts w:hint="eastAsia" w:ascii="宋体" w:hAnsi="宋体" w:eastAsia="宋体" w:cs="宋体"/>
          <w:b/>
          <w:bCs/>
          <w:color w:val="000000"/>
          <w:sz w:val="32"/>
          <w:szCs w:val="32"/>
        </w:rPr>
        <w:t>2022年8月</w:t>
      </w:r>
    </w:p>
    <w:bookmarkEnd w:id="1"/>
    <w:bookmarkEnd w:id="2"/>
    <w:bookmarkEnd w:id="3"/>
    <w:bookmarkEnd w:id="4"/>
    <w:bookmarkEnd w:id="5"/>
    <w:bookmarkEnd w:id="6"/>
    <w:p>
      <w:pPr>
        <w:pStyle w:val="15"/>
        <w:spacing w:line="440" w:lineRule="exact"/>
        <w:ind w:firstLine="0" w:firstLineChars="0"/>
        <w:jc w:val="center"/>
        <w:rPr>
          <w:rFonts w:ascii="宋体" w:hAnsi="宋体" w:eastAsia="宋体" w:cs="宋体"/>
          <w:b/>
          <w:color w:val="000000"/>
          <w:sz w:val="36"/>
          <w:szCs w:val="36"/>
        </w:rPr>
      </w:pPr>
      <w:bookmarkStart w:id="9" w:name="_Toc275703040"/>
    </w:p>
    <w:p>
      <w:pPr>
        <w:pStyle w:val="15"/>
        <w:spacing w:line="440" w:lineRule="exact"/>
        <w:ind w:firstLine="0" w:firstLineChars="0"/>
        <w:jc w:val="center"/>
        <w:rPr>
          <w:rFonts w:ascii="宋体" w:hAnsi="宋体" w:eastAsia="宋体" w:cs="宋体"/>
          <w:b/>
          <w:color w:val="000000"/>
          <w:sz w:val="36"/>
          <w:szCs w:val="36"/>
        </w:rPr>
      </w:pPr>
    </w:p>
    <w:p>
      <w:pPr>
        <w:pStyle w:val="15"/>
        <w:spacing w:line="440" w:lineRule="exact"/>
        <w:ind w:firstLine="0" w:firstLineChars="0"/>
        <w:jc w:val="center"/>
        <w:rPr>
          <w:rFonts w:ascii="宋体" w:hAnsi="宋体" w:eastAsia="宋体" w:cs="宋体"/>
          <w:b/>
          <w:color w:val="000000"/>
          <w:sz w:val="36"/>
          <w:szCs w:val="36"/>
        </w:rPr>
      </w:pPr>
    </w:p>
    <w:p>
      <w:pPr>
        <w:pStyle w:val="15"/>
        <w:spacing w:line="440" w:lineRule="exact"/>
        <w:ind w:firstLine="0" w:firstLineChars="0"/>
        <w:jc w:val="center"/>
        <w:rPr>
          <w:rFonts w:ascii="宋体" w:hAnsi="宋体" w:eastAsia="宋体" w:cs="宋体"/>
          <w:b/>
          <w:color w:val="000000"/>
          <w:sz w:val="36"/>
          <w:szCs w:val="36"/>
        </w:rPr>
      </w:pPr>
    </w:p>
    <w:p>
      <w:pPr>
        <w:pStyle w:val="15"/>
        <w:spacing w:line="440" w:lineRule="exact"/>
        <w:ind w:firstLine="0" w:firstLineChars="0"/>
        <w:jc w:val="center"/>
        <w:rPr>
          <w:rFonts w:ascii="宋体" w:hAnsi="宋体" w:eastAsia="宋体" w:cs="宋体"/>
          <w:b/>
          <w:color w:val="000000"/>
          <w:sz w:val="36"/>
          <w:szCs w:val="36"/>
        </w:rPr>
      </w:pPr>
    </w:p>
    <w:p>
      <w:pPr>
        <w:rPr>
          <w:rFonts w:ascii="宋体" w:hAnsi="宋体" w:eastAsia="宋体" w:cs="宋体"/>
          <w:b/>
          <w:color w:val="000000"/>
          <w:sz w:val="36"/>
          <w:szCs w:val="36"/>
          <w:highlight w:val="white"/>
        </w:rPr>
      </w:pPr>
    </w:p>
    <w:bookmarkEnd w:id="9"/>
    <w:p>
      <w:pPr>
        <w:pStyle w:val="15"/>
        <w:spacing w:line="440" w:lineRule="exact"/>
        <w:ind w:firstLine="0" w:firstLineChars="0"/>
        <w:jc w:val="center"/>
        <w:rPr>
          <w:rFonts w:ascii="宋体" w:hAnsi="宋体" w:eastAsia="宋体" w:cs="宋体"/>
          <w:b/>
          <w:color w:val="000000"/>
          <w:sz w:val="32"/>
        </w:rPr>
      </w:pPr>
      <w:bookmarkStart w:id="10" w:name="_Toc19567"/>
      <w:bookmarkStart w:id="11" w:name="_Toc494527197"/>
      <w:bookmarkStart w:id="12" w:name="_Toc275703020"/>
      <w:bookmarkStart w:id="13" w:name="_Toc29953"/>
      <w:bookmarkStart w:id="14" w:name="_Toc456684184"/>
    </w:p>
    <w:p>
      <w:pPr>
        <w:pStyle w:val="15"/>
        <w:spacing w:line="440" w:lineRule="exact"/>
        <w:ind w:firstLine="0" w:firstLineChars="0"/>
        <w:jc w:val="center"/>
        <w:rPr>
          <w:rFonts w:ascii="宋体" w:hAnsi="宋体" w:eastAsia="宋体" w:cs="宋体"/>
          <w:b/>
          <w:color w:val="000000"/>
          <w:sz w:val="32"/>
        </w:rPr>
      </w:pPr>
    </w:p>
    <w:p>
      <w:pPr>
        <w:pStyle w:val="15"/>
        <w:spacing w:line="440" w:lineRule="exact"/>
        <w:ind w:firstLine="0" w:firstLineChars="0"/>
        <w:jc w:val="center"/>
        <w:rPr>
          <w:rFonts w:ascii="宋体" w:hAnsi="宋体" w:eastAsia="宋体" w:cs="宋体"/>
          <w:b/>
          <w:color w:val="000000"/>
          <w:sz w:val="32"/>
        </w:rPr>
      </w:pPr>
      <w:r>
        <w:rPr>
          <w:rFonts w:hint="eastAsia" w:ascii="宋体" w:hAnsi="宋体" w:eastAsia="宋体" w:cs="宋体"/>
          <w:b/>
          <w:color w:val="000000"/>
          <w:sz w:val="32"/>
        </w:rPr>
        <w:t>目 录</w:t>
      </w:r>
    </w:p>
    <w:p>
      <w:pPr>
        <w:pStyle w:val="37"/>
        <w:tabs>
          <w:tab w:val="right" w:leader="dot" w:pos="9185"/>
        </w:tabs>
      </w:pPr>
      <w:bookmarkStart w:id="15" w:name="_Toc152042290"/>
      <w:bookmarkStart w:id="16" w:name="_Toc144974482"/>
      <w:bookmarkStart w:id="17" w:name="_Toc179632544"/>
      <w:bookmarkStart w:id="18" w:name="_Toc152042303"/>
      <w:bookmarkStart w:id="19" w:name="_Toc456684182"/>
      <w:bookmarkStart w:id="20" w:name="_Toc152045514"/>
      <w:bookmarkStart w:id="21" w:name="_Toc152045527"/>
      <w:bookmarkStart w:id="22" w:name="_Toc179632530"/>
      <w:bookmarkStart w:id="23" w:name="_Toc275703019"/>
      <w:bookmarkStart w:id="24" w:name="EB992724f1575845a4b690bda850fb10e8"/>
      <w:bookmarkStart w:id="25" w:name="_Toc144974495"/>
      <w:r>
        <w:rPr>
          <w:rFonts w:hint="eastAsia" w:ascii="宋体" w:hAnsi="宋体" w:cs="宋体"/>
          <w:b w:val="0"/>
          <w:color w:val="000000"/>
          <w:sz w:val="28"/>
          <w:szCs w:val="28"/>
        </w:rPr>
        <w:fldChar w:fldCharType="begin"/>
      </w:r>
      <w:r>
        <w:rPr>
          <w:rFonts w:hint="eastAsia" w:ascii="宋体" w:hAnsi="宋体" w:cs="宋体"/>
          <w:b w:val="0"/>
          <w:color w:val="000000"/>
          <w:sz w:val="28"/>
          <w:szCs w:val="28"/>
        </w:rPr>
        <w:instrText xml:space="preserve">TOC \o "1-1" \h \u </w:instrText>
      </w:r>
      <w:r>
        <w:rPr>
          <w:rFonts w:hint="eastAsia" w:ascii="宋体" w:hAnsi="宋体" w:cs="宋体"/>
          <w:b w:val="0"/>
          <w:color w:val="000000"/>
          <w:sz w:val="28"/>
          <w:szCs w:val="28"/>
        </w:rPr>
        <w:fldChar w:fldCharType="separate"/>
      </w:r>
      <w:r>
        <w:fldChar w:fldCharType="begin"/>
      </w:r>
      <w:r>
        <w:instrText xml:space="preserve"> HYPERLINK \l "_Toc32592" </w:instrText>
      </w:r>
      <w:r>
        <w:fldChar w:fldCharType="separate"/>
      </w:r>
      <w:r>
        <w:rPr>
          <w:rFonts w:hint="eastAsia" w:ascii="宋体" w:hAnsi="宋体" w:cs="宋体"/>
          <w:bCs w:val="0"/>
          <w:szCs w:val="36"/>
        </w:rPr>
        <w:t>第一章 招标公告</w:t>
      </w:r>
      <w:r>
        <w:tab/>
      </w:r>
      <w:r>
        <w:fldChar w:fldCharType="end"/>
      </w:r>
    </w:p>
    <w:p>
      <w:pPr>
        <w:pStyle w:val="37"/>
        <w:tabs>
          <w:tab w:val="right" w:leader="dot" w:pos="9185"/>
        </w:tabs>
      </w:pPr>
      <w:r>
        <w:fldChar w:fldCharType="begin"/>
      </w:r>
      <w:r>
        <w:instrText xml:space="preserve"> HYPERLINK \l "_Toc31332" </w:instrText>
      </w:r>
      <w:r>
        <w:fldChar w:fldCharType="separate"/>
      </w:r>
      <w:r>
        <w:rPr>
          <w:rFonts w:hint="eastAsia" w:ascii="宋体" w:hAnsi="宋体" w:cs="宋体"/>
          <w:szCs w:val="32"/>
        </w:rPr>
        <w:t>同步发布本工程公告</w:t>
      </w:r>
      <w:r>
        <w:tab/>
      </w:r>
      <w:r>
        <w:fldChar w:fldCharType="end"/>
      </w:r>
    </w:p>
    <w:p>
      <w:pPr>
        <w:pStyle w:val="37"/>
        <w:tabs>
          <w:tab w:val="right" w:leader="dot" w:pos="9185"/>
        </w:tabs>
        <w:spacing w:before="0" w:after="0"/>
      </w:pPr>
      <w:r>
        <w:fldChar w:fldCharType="begin"/>
      </w:r>
      <w:r>
        <w:instrText xml:space="preserve"> HYPERLINK \l "_Toc25125" </w:instrText>
      </w:r>
      <w:r>
        <w:fldChar w:fldCharType="separate"/>
      </w:r>
      <w:r>
        <w:rPr>
          <w:rFonts w:hint="eastAsia" w:ascii="宋体" w:hAnsi="宋体" w:cs="宋体"/>
          <w:highlight w:val="white"/>
        </w:rPr>
        <w:t>第二章 投标人须知</w:t>
      </w:r>
      <w:r>
        <w:tab/>
      </w:r>
      <w:r>
        <w:rPr>
          <w:rFonts w:hint="eastAsia"/>
        </w:rPr>
        <w:t>6</w:t>
      </w:r>
      <w:r>
        <w:rPr>
          <w:rFonts w:hint="eastAsia"/>
        </w:rPr>
        <w:fldChar w:fldCharType="end"/>
      </w:r>
    </w:p>
    <w:p>
      <w:pPr>
        <w:pStyle w:val="37"/>
        <w:tabs>
          <w:tab w:val="right" w:leader="dot" w:pos="9185"/>
        </w:tabs>
      </w:pPr>
      <w:r>
        <w:fldChar w:fldCharType="begin"/>
      </w:r>
      <w:r>
        <w:instrText xml:space="preserve"> HYPERLINK \l "_Toc7449" </w:instrText>
      </w:r>
      <w:r>
        <w:fldChar w:fldCharType="separate"/>
      </w:r>
      <w:r>
        <w:rPr>
          <w:rFonts w:hint="eastAsia" w:ascii="宋体" w:hAnsi="宋体" w:cs="宋体"/>
          <w:highlight w:val="white"/>
        </w:rPr>
        <w:t>第三章  评标办法（经评审的合理低价投标价法）</w:t>
      </w:r>
      <w:r>
        <w:tab/>
      </w:r>
      <w:r>
        <w:rPr>
          <w:rFonts w:hint="eastAsia"/>
        </w:rPr>
        <w:t>1</w:t>
      </w:r>
      <w:r>
        <w:rPr>
          <w:rFonts w:hint="eastAsia"/>
        </w:rPr>
        <w:fldChar w:fldCharType="end"/>
      </w:r>
      <w:r>
        <w:rPr>
          <w:rFonts w:hint="eastAsia"/>
        </w:rPr>
        <w:t>8</w:t>
      </w:r>
    </w:p>
    <w:p>
      <w:pPr>
        <w:pStyle w:val="37"/>
        <w:tabs>
          <w:tab w:val="right" w:leader="dot" w:pos="9185"/>
        </w:tabs>
      </w:pPr>
      <w:r>
        <w:fldChar w:fldCharType="begin"/>
      </w:r>
      <w:r>
        <w:instrText xml:space="preserve"> HYPERLINK \l "_Toc24070" </w:instrText>
      </w:r>
      <w:r>
        <w:fldChar w:fldCharType="separate"/>
      </w:r>
      <w:r>
        <w:rPr>
          <w:rFonts w:hint="eastAsia" w:ascii="宋体" w:hAnsi="宋体" w:cs="宋体"/>
          <w:highlight w:val="white"/>
        </w:rPr>
        <w:t>第四章 合同条款及格</w:t>
      </w:r>
      <w:r>
        <w:tab/>
      </w:r>
      <w:r>
        <w:rPr>
          <w:rFonts w:hint="eastAsia"/>
        </w:rPr>
        <w:t>2</w:t>
      </w:r>
      <w:r>
        <w:rPr>
          <w:rFonts w:hint="eastAsia"/>
        </w:rPr>
        <w:fldChar w:fldCharType="end"/>
      </w:r>
      <w:r>
        <w:rPr>
          <w:rFonts w:hint="eastAsia"/>
        </w:rPr>
        <w:t>1</w:t>
      </w:r>
    </w:p>
    <w:p>
      <w:pPr>
        <w:pStyle w:val="37"/>
        <w:tabs>
          <w:tab w:val="right" w:leader="dot" w:pos="9185"/>
        </w:tabs>
      </w:pPr>
      <w:r>
        <w:fldChar w:fldCharType="begin"/>
      </w:r>
      <w:r>
        <w:instrText xml:space="preserve"> HYPERLINK \l "_Toc11409" </w:instrText>
      </w:r>
      <w:r>
        <w:fldChar w:fldCharType="separate"/>
      </w:r>
      <w:r>
        <w:rPr>
          <w:rFonts w:hint="eastAsia"/>
        </w:rPr>
        <w:t xml:space="preserve">第五章 </w:t>
      </w:r>
      <w:r>
        <w:rPr>
          <w:rFonts w:hint="eastAsia" w:ascii="宋体" w:hAnsi="宋体" w:cs="宋体"/>
          <w:highlight w:val="white"/>
        </w:rPr>
        <w:t>工程量清单、图纸</w:t>
      </w:r>
      <w:r>
        <w:tab/>
      </w:r>
      <w:r>
        <w:rPr>
          <w:rFonts w:hint="eastAsia"/>
        </w:rPr>
        <w:t>2</w:t>
      </w:r>
      <w:r>
        <w:rPr>
          <w:rFonts w:hint="eastAsia"/>
        </w:rPr>
        <w:fldChar w:fldCharType="end"/>
      </w:r>
      <w:r>
        <w:rPr>
          <w:rFonts w:hint="eastAsia"/>
        </w:rPr>
        <w:t>1</w:t>
      </w:r>
    </w:p>
    <w:p>
      <w:pPr>
        <w:pStyle w:val="37"/>
        <w:tabs>
          <w:tab w:val="right" w:leader="dot" w:pos="9185"/>
        </w:tabs>
      </w:pPr>
      <w:r>
        <w:fldChar w:fldCharType="begin"/>
      </w:r>
      <w:r>
        <w:instrText xml:space="preserve"> HYPERLINK \l "_Toc6379" </w:instrText>
      </w:r>
      <w:r>
        <w:fldChar w:fldCharType="separate"/>
      </w:r>
      <w:r>
        <w:rPr>
          <w:rFonts w:hint="eastAsia" w:ascii="宋体" w:hAnsi="宋体" w:cs="宋体"/>
          <w:highlight w:val="white"/>
        </w:rPr>
        <w:t>第六章</w:t>
      </w:r>
      <w:r>
        <w:rPr>
          <w:rFonts w:hint="eastAsia" w:ascii="宋体" w:hAnsi="宋体" w:cs="宋体"/>
          <w:szCs w:val="32"/>
        </w:rPr>
        <w:t xml:space="preserve">   </w:t>
      </w:r>
      <w:r>
        <w:rPr>
          <w:rFonts w:hint="eastAsia" w:ascii="宋体" w:hAnsi="宋体" w:cs="宋体"/>
          <w:highlight w:val="white"/>
        </w:rPr>
        <w:t>技术规范</w:t>
      </w:r>
      <w:r>
        <w:tab/>
      </w:r>
      <w:r>
        <w:rPr>
          <w:rFonts w:hint="eastAsia"/>
        </w:rPr>
        <w:t>2</w:t>
      </w:r>
      <w:r>
        <w:rPr>
          <w:rFonts w:hint="eastAsia"/>
        </w:rPr>
        <w:fldChar w:fldCharType="end"/>
      </w:r>
      <w:r>
        <w:rPr>
          <w:rFonts w:hint="eastAsia"/>
        </w:rPr>
        <w:t>1</w:t>
      </w:r>
    </w:p>
    <w:p>
      <w:pPr>
        <w:pStyle w:val="37"/>
        <w:tabs>
          <w:tab w:val="right" w:leader="dot" w:pos="9185"/>
        </w:tabs>
      </w:pPr>
      <w:r>
        <w:fldChar w:fldCharType="begin"/>
      </w:r>
      <w:r>
        <w:instrText xml:space="preserve"> HYPERLINK \l "_Toc26655" </w:instrText>
      </w:r>
      <w:r>
        <w:fldChar w:fldCharType="separate"/>
      </w:r>
      <w:r>
        <w:rPr>
          <w:rFonts w:hint="eastAsia" w:ascii="宋体" w:hAnsi="宋体" w:cs="宋体"/>
          <w:highlight w:val="white"/>
        </w:rPr>
        <w:t>第七章</w:t>
      </w:r>
      <w:r>
        <w:rPr>
          <w:rFonts w:hint="eastAsia" w:ascii="宋体" w:hAnsi="宋体" w:cs="宋体"/>
          <w:szCs w:val="32"/>
        </w:rPr>
        <w:t xml:space="preserve">   </w:t>
      </w:r>
      <w:r>
        <w:rPr>
          <w:rFonts w:hint="eastAsia" w:ascii="宋体" w:hAnsi="宋体" w:cs="宋体"/>
          <w:highlight w:val="white"/>
        </w:rPr>
        <w:t>投标文件格式</w:t>
      </w:r>
      <w:r>
        <w:tab/>
      </w:r>
      <w:r>
        <w:fldChar w:fldCharType="end"/>
      </w:r>
      <w:r>
        <w:rPr>
          <w:rFonts w:hint="eastAsia"/>
        </w:rPr>
        <w:t>21</w:t>
      </w:r>
    </w:p>
    <w:p>
      <w:pPr>
        <w:tabs>
          <w:tab w:val="center" w:pos="5183"/>
        </w:tabs>
        <w:rPr>
          <w:rFonts w:ascii="宋体" w:hAnsi="宋体" w:eastAsia="宋体" w:cs="宋体"/>
          <w:color w:val="000000"/>
          <w:szCs w:val="28"/>
        </w:rPr>
      </w:pPr>
      <w:r>
        <w:rPr>
          <w:rFonts w:hint="eastAsia" w:ascii="宋体" w:hAnsi="宋体" w:eastAsia="宋体" w:cs="宋体"/>
          <w:color w:val="000000"/>
          <w:szCs w:val="28"/>
        </w:rPr>
        <w:fldChar w:fldCharType="end"/>
      </w:r>
      <w:r>
        <w:rPr>
          <w:rFonts w:ascii="宋体" w:hAnsi="宋体" w:eastAsia="宋体" w:cs="宋体"/>
          <w:color w:val="000000"/>
          <w:szCs w:val="28"/>
        </w:rPr>
        <w:tab/>
      </w: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
          <w:color w:val="000000"/>
          <w:sz w:val="28"/>
          <w:szCs w:val="28"/>
        </w:rPr>
      </w:pPr>
    </w:p>
    <w:p>
      <w:pPr>
        <w:rPr>
          <w:rFonts w:ascii="宋体" w:hAnsi="宋体" w:eastAsia="宋体" w:cs="宋体"/>
          <w:bCs/>
          <w:color w:val="000000"/>
          <w:sz w:val="36"/>
          <w:szCs w:val="36"/>
        </w:rPr>
      </w:pPr>
    </w:p>
    <w:bookmarkEnd w:id="15"/>
    <w:bookmarkEnd w:id="16"/>
    <w:bookmarkEnd w:id="17"/>
    <w:bookmarkEnd w:id="18"/>
    <w:bookmarkEnd w:id="19"/>
    <w:bookmarkEnd w:id="20"/>
    <w:bookmarkEnd w:id="21"/>
    <w:bookmarkEnd w:id="22"/>
    <w:bookmarkEnd w:id="23"/>
    <w:bookmarkEnd w:id="24"/>
    <w:bookmarkEnd w:id="25"/>
    <w:p>
      <w:pPr>
        <w:pStyle w:val="139"/>
        <w:rPr>
          <w:rFonts w:ascii="宋体" w:hAnsi="宋体" w:eastAsia="宋体"/>
          <w:color w:val="000000"/>
          <w:sz w:val="36"/>
          <w:szCs w:val="36"/>
        </w:rPr>
      </w:pPr>
      <w:bookmarkStart w:id="26" w:name="_Toc494527195"/>
      <w:bookmarkStart w:id="27" w:name="_Toc32592"/>
      <w:r>
        <w:rPr>
          <w:rFonts w:hint="eastAsia" w:ascii="宋体" w:hAnsi="宋体" w:eastAsia="宋体"/>
          <w:bCs w:val="0"/>
          <w:color w:val="000000"/>
          <w:sz w:val="36"/>
          <w:szCs w:val="36"/>
        </w:rPr>
        <w:t>第一章 招标公告</w:t>
      </w:r>
      <w:bookmarkEnd w:id="26"/>
      <w:bookmarkEnd w:id="27"/>
      <w:bookmarkStart w:id="28" w:name="_Toc275703042"/>
    </w:p>
    <w:bookmarkEnd w:id="28"/>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一、工程概况：</w:t>
      </w:r>
    </w:p>
    <w:p>
      <w:pPr>
        <w:widowControl/>
        <w:ind w:left="480"/>
        <w:jc w:val="left"/>
        <w:rPr>
          <w:rFonts w:ascii="宋体" w:hAnsi="宋体" w:eastAsia="宋体" w:cs="宋体"/>
          <w:sz w:val="28"/>
          <w:szCs w:val="28"/>
        </w:rPr>
      </w:pPr>
      <w:r>
        <w:rPr>
          <w:rFonts w:hint="eastAsia" w:ascii="宋体" w:hAnsi="宋体" w:eastAsia="宋体" w:cs="宋体"/>
          <w:color w:val="000000"/>
          <w:kern w:val="0"/>
          <w:sz w:val="28"/>
          <w:szCs w:val="28"/>
          <w:lang w:bidi="ar"/>
        </w:rPr>
        <w:t>1、工程名称：</w:t>
      </w:r>
      <w:r>
        <w:rPr>
          <w:rFonts w:ascii="宋体" w:hAnsi="宋体" w:eastAsia="宋体" w:cs="宋体"/>
          <w:color w:val="000000"/>
          <w:kern w:val="0"/>
          <w:sz w:val="28"/>
          <w:szCs w:val="28"/>
          <w:u w:val="single"/>
          <w:lang w:bidi="ar"/>
        </w:rPr>
        <w:t>2#堆</w:t>
      </w:r>
      <w:r>
        <w:rPr>
          <w:rFonts w:hint="eastAsia" w:ascii="宋体" w:hAnsi="宋体" w:eastAsia="宋体" w:cs="宋体"/>
          <w:color w:val="000000"/>
          <w:kern w:val="0"/>
          <w:sz w:val="28"/>
          <w:szCs w:val="28"/>
          <w:u w:val="single"/>
          <w:lang w:val="en-US" w:eastAsia="zh-CN" w:bidi="ar"/>
        </w:rPr>
        <w:t>场</w:t>
      </w:r>
      <w:r>
        <w:rPr>
          <w:rFonts w:ascii="宋体" w:hAnsi="宋体" w:eastAsia="宋体" w:cs="宋体"/>
          <w:color w:val="000000"/>
          <w:kern w:val="0"/>
          <w:sz w:val="28"/>
          <w:szCs w:val="28"/>
          <w:u w:val="single"/>
          <w:lang w:bidi="ar"/>
        </w:rPr>
        <w:t>修复项目</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2、工程地点：</w:t>
      </w:r>
      <w:r>
        <w:rPr>
          <w:rFonts w:hint="eastAsia" w:ascii="宋体" w:hAnsi="宋体" w:eastAsia="宋体" w:cs="宋体"/>
          <w:color w:val="000000"/>
          <w:kern w:val="0"/>
          <w:sz w:val="28"/>
          <w:szCs w:val="28"/>
          <w:u w:val="single"/>
          <w:lang w:bidi="ar"/>
        </w:rPr>
        <w:t>靖江市西来镇</w:t>
      </w:r>
    </w:p>
    <w:p>
      <w:pPr>
        <w:widowControl/>
        <w:ind w:firstLine="48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bidi="ar"/>
        </w:rPr>
        <w:t xml:space="preserve">3、工程范围: </w:t>
      </w:r>
      <w:r>
        <w:rPr>
          <w:rFonts w:hint="eastAsia" w:ascii="宋体" w:hAnsi="宋体" w:eastAsia="宋体" w:cs="宋体"/>
          <w:color w:val="000000"/>
          <w:kern w:val="0"/>
          <w:sz w:val="28"/>
          <w:szCs w:val="28"/>
          <w:u w:val="single"/>
        </w:rPr>
        <w:t>具体工程量及施工要求详见招标文件</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4、施工工期：</w:t>
      </w:r>
      <w:r>
        <w:rPr>
          <w:rFonts w:hint="eastAsia" w:ascii="宋体" w:hAnsi="宋体" w:eastAsia="宋体" w:cs="宋体"/>
          <w:color w:val="000000"/>
          <w:kern w:val="0"/>
          <w:sz w:val="28"/>
          <w:szCs w:val="28"/>
          <w:u w:val="single"/>
          <w:lang w:val="en-US" w:eastAsia="zh-CN" w:bidi="ar"/>
        </w:rPr>
        <w:t>3</w:t>
      </w:r>
      <w:r>
        <w:rPr>
          <w:rFonts w:hint="eastAsia" w:ascii="宋体" w:hAnsi="宋体" w:eastAsia="宋体" w:cs="宋体"/>
          <w:color w:val="000000"/>
          <w:kern w:val="0"/>
          <w:sz w:val="28"/>
          <w:szCs w:val="28"/>
          <w:u w:val="single"/>
          <w:lang w:bidi="ar"/>
        </w:rPr>
        <w:t>0日历天</w:t>
      </w:r>
      <w:r>
        <w:rPr>
          <w:rFonts w:hint="eastAsia" w:ascii="宋体" w:hAnsi="宋体" w:eastAsia="宋体" w:cs="宋体"/>
          <w:color w:val="000000"/>
          <w:kern w:val="0"/>
          <w:sz w:val="28"/>
          <w:szCs w:val="28"/>
          <w:lang w:bidi="ar"/>
        </w:rPr>
        <w:t>；</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二、工程造价：</w:t>
      </w:r>
    </w:p>
    <w:tbl>
      <w:tblPr>
        <w:tblStyle w:val="52"/>
        <w:tblW w:w="7943" w:type="dxa"/>
        <w:tblInd w:w="39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2552"/>
        <w:gridCol w:w="2696"/>
        <w:gridCol w:w="26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7" w:hRule="atLeast"/>
        </w:trPr>
        <w:tc>
          <w:tcPr>
            <w:tcW w:w="255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bottom"/>
          </w:tcPr>
          <w:p>
            <w:pPr>
              <w:widowControl/>
              <w:ind w:firstLine="360"/>
              <w:jc w:val="left"/>
              <w:rPr>
                <w:rFonts w:ascii="宋体" w:hAnsi="宋体" w:eastAsia="宋体" w:cs="宋体"/>
                <w:sz w:val="28"/>
                <w:szCs w:val="28"/>
              </w:rPr>
            </w:pPr>
            <w:r>
              <w:rPr>
                <w:rFonts w:hint="eastAsia" w:ascii="宋体" w:hAnsi="宋体" w:eastAsia="宋体" w:cs="宋体"/>
                <w:color w:val="000000"/>
                <w:kern w:val="0"/>
                <w:sz w:val="28"/>
                <w:szCs w:val="28"/>
                <w:lang w:bidi="ar"/>
              </w:rPr>
              <w:t>招标控制价</w:t>
            </w:r>
          </w:p>
        </w:tc>
        <w:tc>
          <w:tcPr>
            <w:tcW w:w="269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bottom"/>
          </w:tcPr>
          <w:p>
            <w:pPr>
              <w:widowControl/>
              <w:ind w:firstLine="240"/>
              <w:jc w:val="left"/>
              <w:rPr>
                <w:rFonts w:ascii="宋体" w:hAnsi="宋体" w:eastAsia="宋体" w:cs="宋体"/>
                <w:sz w:val="28"/>
                <w:szCs w:val="28"/>
              </w:rPr>
            </w:pPr>
            <w:r>
              <w:rPr>
                <w:rFonts w:hint="eastAsia" w:cs="宋体"/>
                <w:color w:val="000000"/>
                <w:kern w:val="0"/>
                <w:sz w:val="28"/>
                <w:szCs w:val="28"/>
                <w:lang w:bidi="ar"/>
              </w:rPr>
              <w:t>3301369</w:t>
            </w:r>
            <w:r>
              <w:rPr>
                <w:rFonts w:hint="eastAsia" w:ascii="宋体" w:hAnsi="宋体" w:eastAsia="宋体" w:cs="宋体"/>
                <w:color w:val="000000"/>
                <w:kern w:val="0"/>
                <w:sz w:val="28"/>
                <w:szCs w:val="28"/>
                <w:lang w:bidi="ar"/>
              </w:rPr>
              <w:t>元</w:t>
            </w:r>
          </w:p>
        </w:tc>
        <w:tc>
          <w:tcPr>
            <w:tcW w:w="2693"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jc w:val="center"/>
              <w:rPr>
                <w:rFonts w:ascii="宋体" w:hAnsi="宋体" w:eastAsia="宋体" w:cs="宋体"/>
                <w:sz w:val="28"/>
                <w:szCs w:val="28"/>
              </w:rPr>
            </w:pPr>
            <w:r>
              <w:rPr>
                <w:rFonts w:hint="eastAsia" w:ascii="宋体" w:hAnsi="宋体" w:eastAsia="宋体" w:cs="宋体"/>
                <w:color w:val="000000"/>
                <w:kern w:val="0"/>
                <w:sz w:val="28"/>
                <w:szCs w:val="28"/>
                <w:lang w:bidi="ar"/>
              </w:rPr>
              <w:t>该价含税，价格含机械、人工等所有费用在内。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5" w:hRule="atLeast"/>
        </w:trPr>
        <w:tc>
          <w:tcPr>
            <w:tcW w:w="255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bottom"/>
          </w:tcPr>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投标最高限价</w:t>
            </w:r>
          </w:p>
        </w:tc>
        <w:tc>
          <w:tcPr>
            <w:tcW w:w="2694" w:type="dxa"/>
            <w:tcBorders>
              <w:top w:val="nil"/>
              <w:left w:val="nil"/>
              <w:bottom w:val="single" w:color="000000" w:sz="8" w:space="0"/>
              <w:right w:val="single" w:color="000000" w:sz="8" w:space="0"/>
            </w:tcBorders>
            <w:shd w:val="clear" w:color="auto" w:fill="auto"/>
            <w:tcMar>
              <w:left w:w="108" w:type="dxa"/>
              <w:right w:w="108" w:type="dxa"/>
            </w:tcMar>
            <w:vAlign w:val="bottom"/>
          </w:tcPr>
          <w:p>
            <w:pPr>
              <w:widowControl/>
              <w:ind w:firstLine="240"/>
              <w:jc w:val="left"/>
              <w:rPr>
                <w:rFonts w:ascii="宋体" w:hAnsi="宋体" w:eastAsia="宋体" w:cs="宋体"/>
                <w:sz w:val="28"/>
                <w:szCs w:val="28"/>
              </w:rPr>
            </w:pPr>
            <w:r>
              <w:rPr>
                <w:rFonts w:hint="eastAsia" w:cs="宋体"/>
                <w:color w:val="000000"/>
                <w:kern w:val="0"/>
                <w:sz w:val="28"/>
                <w:szCs w:val="28"/>
                <w:lang w:bidi="ar"/>
              </w:rPr>
              <w:t>3301369</w:t>
            </w:r>
            <w:r>
              <w:rPr>
                <w:rFonts w:hint="eastAsia" w:ascii="宋体" w:hAnsi="宋体" w:eastAsia="宋体" w:cs="宋体"/>
                <w:color w:val="000000"/>
                <w:kern w:val="0"/>
                <w:sz w:val="28"/>
                <w:szCs w:val="28"/>
                <w:lang w:bidi="ar"/>
              </w:rPr>
              <w:t>元</w:t>
            </w:r>
          </w:p>
        </w:tc>
        <w:tc>
          <w:tcPr>
            <w:tcW w:w="2693"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rPr>
                <w:rFonts w:ascii="宋体" w:hAnsi="宋体" w:eastAsia="宋体" w:cs="宋体"/>
                <w:color w:val="666666"/>
                <w:sz w:val="28"/>
                <w:szCs w:val="28"/>
              </w:rPr>
            </w:pPr>
          </w:p>
        </w:tc>
      </w:tr>
    </w:tbl>
    <w:p>
      <w:pPr>
        <w:widowControl/>
        <w:jc w:val="left"/>
        <w:rPr>
          <w:rFonts w:ascii="宋体" w:hAnsi="宋体" w:eastAsia="宋体" w:cs="宋体"/>
          <w:sz w:val="28"/>
          <w:szCs w:val="28"/>
        </w:rPr>
      </w:pP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三、评标方式：</w:t>
      </w:r>
      <w:r>
        <w:rPr>
          <w:rFonts w:hint="eastAsia" w:ascii="宋体" w:hAnsi="宋体" w:eastAsia="宋体" w:cs="宋体"/>
          <w:color w:val="000000"/>
          <w:sz w:val="28"/>
          <w:szCs w:val="28"/>
        </w:rPr>
        <w:t>综合评分法</w:t>
      </w:r>
      <w:r>
        <w:rPr>
          <w:rFonts w:hint="eastAsia" w:ascii="宋体" w:hAnsi="宋体" w:eastAsia="宋体" w:cs="宋体"/>
          <w:color w:val="000000"/>
          <w:kern w:val="0"/>
          <w:sz w:val="28"/>
          <w:szCs w:val="28"/>
          <w:lang w:bidi="ar"/>
        </w:rPr>
        <w:t>。</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四、投标人资格要求：</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1、必须是独立的企业法人，并在上年度年检合格。</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2、必须具有</w:t>
      </w:r>
      <w:r>
        <w:rPr>
          <w:rFonts w:ascii="宋体" w:hAnsi="宋体" w:eastAsia="宋体" w:cs="宋体"/>
          <w:color w:val="000000"/>
          <w:kern w:val="0"/>
          <w:sz w:val="28"/>
          <w:szCs w:val="28"/>
          <w:u w:val="single"/>
          <w:lang w:bidi="ar"/>
        </w:rPr>
        <w:t>市政</w:t>
      </w:r>
      <w:r>
        <w:rPr>
          <w:rFonts w:hint="eastAsia" w:ascii="宋体" w:hAnsi="宋体" w:eastAsia="宋体" w:cs="宋体"/>
          <w:color w:val="000000"/>
          <w:kern w:val="0"/>
          <w:sz w:val="28"/>
          <w:szCs w:val="28"/>
          <w:u w:val="single"/>
          <w:lang w:val="en-US" w:eastAsia="zh-CN" w:bidi="ar"/>
        </w:rPr>
        <w:t>公用</w:t>
      </w:r>
      <w:r>
        <w:rPr>
          <w:rFonts w:ascii="宋体" w:hAnsi="宋体" w:eastAsia="宋体" w:cs="宋体"/>
          <w:color w:val="000000"/>
          <w:kern w:val="0"/>
          <w:sz w:val="28"/>
          <w:szCs w:val="28"/>
          <w:u w:val="single"/>
          <w:lang w:bidi="ar"/>
        </w:rPr>
        <w:t>工程施工总承包</w:t>
      </w:r>
      <w:r>
        <w:rPr>
          <w:rFonts w:hint="eastAsia" w:ascii="宋体" w:hAnsi="宋体" w:eastAsia="宋体" w:cs="宋体"/>
          <w:color w:val="000000"/>
          <w:kern w:val="0"/>
          <w:sz w:val="28"/>
          <w:szCs w:val="28"/>
          <w:u w:val="single"/>
          <w:lang w:bidi="ar"/>
        </w:rPr>
        <w:t>三级（含）</w:t>
      </w:r>
      <w:r>
        <w:rPr>
          <w:rFonts w:hint="eastAsia" w:ascii="宋体" w:hAnsi="宋体" w:eastAsia="宋体" w:cs="宋体"/>
          <w:color w:val="000000"/>
          <w:kern w:val="0"/>
          <w:sz w:val="28"/>
          <w:szCs w:val="28"/>
          <w:lang w:bidi="ar"/>
        </w:rPr>
        <w:t>资质及以上、建筑业施工安全生产许可证，</w:t>
      </w:r>
      <w:r>
        <w:rPr>
          <w:rFonts w:hint="eastAsia" w:ascii="宋体" w:hAnsi="宋体" w:eastAsia="宋体" w:cs="宋体"/>
          <w:color w:val="000000"/>
          <w:sz w:val="28"/>
          <w:szCs w:val="28"/>
          <w:shd w:val="clear" w:color="auto" w:fill="FFFFFF"/>
        </w:rPr>
        <w:t>并在有效期内。其中投标人拟派项目负责人具有</w:t>
      </w:r>
      <w:r>
        <w:rPr>
          <w:rFonts w:ascii="宋体" w:hAnsi="宋体" w:eastAsia="宋体" w:cs="宋体"/>
          <w:color w:val="000000"/>
          <w:sz w:val="28"/>
          <w:szCs w:val="28"/>
          <w:u w:val="single"/>
          <w:shd w:val="clear" w:color="auto" w:fill="FFFFFF"/>
        </w:rPr>
        <w:t>市政公用工程二级</w:t>
      </w:r>
      <w:r>
        <w:rPr>
          <w:rFonts w:hint="eastAsia" w:ascii="宋体" w:hAnsi="宋体" w:eastAsia="宋体" w:cs="宋体"/>
          <w:color w:val="000000"/>
          <w:sz w:val="28"/>
          <w:szCs w:val="28"/>
          <w:u w:val="single"/>
          <w:shd w:val="clear" w:color="auto" w:fill="FFFFFF"/>
        </w:rPr>
        <w:t>建造师</w:t>
      </w:r>
      <w:r>
        <w:rPr>
          <w:rFonts w:ascii="宋体" w:hAnsi="宋体" w:eastAsia="宋体" w:cs="宋体"/>
          <w:color w:val="000000"/>
          <w:sz w:val="28"/>
          <w:szCs w:val="28"/>
          <w:u w:val="single"/>
          <w:shd w:val="clear" w:color="auto" w:fill="FFFFFF"/>
        </w:rPr>
        <w:t>(含)</w:t>
      </w:r>
      <w:r>
        <w:rPr>
          <w:rFonts w:ascii="宋体" w:hAnsi="宋体" w:eastAsia="宋体" w:cs="宋体"/>
          <w:color w:val="000000"/>
          <w:sz w:val="28"/>
          <w:szCs w:val="28"/>
          <w:shd w:val="clear" w:color="auto" w:fill="FFFFFF"/>
        </w:rPr>
        <w:t>以上资格</w:t>
      </w:r>
      <w:r>
        <w:rPr>
          <w:rFonts w:hint="eastAsia" w:ascii="宋体" w:hAnsi="宋体" w:eastAsia="宋体" w:cs="宋体"/>
          <w:color w:val="000000"/>
          <w:sz w:val="28"/>
          <w:szCs w:val="28"/>
          <w:shd w:val="clear" w:color="auto" w:fill="FFFFFF"/>
        </w:rPr>
        <w:t>，安全合格B证，并在有效期范围内。</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3、本次招标不接受联合体投标。</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六、投标及开标时间：</w:t>
      </w:r>
    </w:p>
    <w:p>
      <w:pPr>
        <w:widowControl/>
        <w:ind w:firstLine="48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1、投标截止时间：2022年8月</w:t>
      </w:r>
      <w:r>
        <w:rPr>
          <w:rFonts w:hint="eastAsia" w:ascii="宋体" w:hAnsi="宋体" w:eastAsia="宋体" w:cs="宋体"/>
          <w:color w:val="000000"/>
          <w:kern w:val="0"/>
          <w:sz w:val="28"/>
          <w:szCs w:val="28"/>
          <w:lang w:val="en-US" w:eastAsia="zh-CN" w:bidi="ar"/>
        </w:rPr>
        <w:t>25</w:t>
      </w:r>
      <w:r>
        <w:rPr>
          <w:rFonts w:hint="eastAsia" w:ascii="宋体" w:hAnsi="宋体" w:eastAsia="宋体" w:cs="宋体"/>
          <w:color w:val="000000"/>
          <w:kern w:val="0"/>
          <w:sz w:val="28"/>
          <w:szCs w:val="28"/>
          <w:lang w:bidi="ar"/>
        </w:rPr>
        <w:t>日14:30。</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联系人：胡先生   联系电话：</w:t>
      </w:r>
      <w:r>
        <w:rPr>
          <w:rFonts w:ascii="宋体" w:hAnsi="宋体" w:eastAsia="宋体" w:cs="宋体"/>
          <w:color w:val="000000"/>
          <w:kern w:val="0"/>
          <w:sz w:val="28"/>
          <w:szCs w:val="28"/>
          <w:lang w:bidi="ar"/>
        </w:rPr>
        <w:t>15896203790</w:t>
      </w:r>
    </w:p>
    <w:p>
      <w:pPr>
        <w:widowControl/>
        <w:ind w:firstLine="480"/>
        <w:jc w:val="left"/>
        <w:rPr>
          <w:rFonts w:ascii="宋体" w:hAnsi="宋体" w:eastAsia="宋体" w:cs="宋体"/>
          <w:sz w:val="28"/>
          <w:szCs w:val="28"/>
        </w:rPr>
      </w:pPr>
      <w:r>
        <w:rPr>
          <w:rFonts w:hint="eastAsia" w:ascii="宋体" w:hAnsi="宋体" w:eastAsia="宋体" w:cs="宋体"/>
          <w:color w:val="000000"/>
          <w:kern w:val="0"/>
          <w:sz w:val="28"/>
          <w:szCs w:val="28"/>
          <w:lang w:bidi="ar"/>
        </w:rPr>
        <w:t>2、开标时间：2022年8月</w:t>
      </w:r>
      <w:r>
        <w:rPr>
          <w:rFonts w:hint="eastAsia" w:ascii="宋体" w:hAnsi="宋体" w:eastAsia="宋体" w:cs="宋体"/>
          <w:color w:val="000000"/>
          <w:kern w:val="0"/>
          <w:sz w:val="28"/>
          <w:szCs w:val="28"/>
          <w:lang w:val="en-US" w:eastAsia="zh-CN" w:bidi="ar"/>
        </w:rPr>
        <w:t>25</w:t>
      </w:r>
      <w:r>
        <w:rPr>
          <w:rFonts w:hint="eastAsia" w:ascii="宋体" w:hAnsi="宋体" w:eastAsia="宋体" w:cs="宋体"/>
          <w:color w:val="000000"/>
          <w:kern w:val="0"/>
          <w:sz w:val="28"/>
          <w:szCs w:val="28"/>
          <w:lang w:bidi="ar"/>
        </w:rPr>
        <w:t>日14:30，地点：靖江市</w:t>
      </w:r>
      <w:r>
        <w:rPr>
          <w:rFonts w:hint="eastAsia" w:ascii="宋体" w:hAnsi="宋体" w:eastAsia="宋体" w:cs="宋体"/>
          <w:color w:val="000000"/>
          <w:kern w:val="0"/>
          <w:sz w:val="28"/>
          <w:szCs w:val="28"/>
        </w:rPr>
        <w:t>西来镇</w:t>
      </w:r>
      <w:r>
        <w:rPr>
          <w:rFonts w:hint="eastAsia" w:ascii="宋体" w:hAnsi="宋体" w:eastAsia="宋体" w:cs="宋体"/>
          <w:color w:val="000000"/>
          <w:kern w:val="0"/>
          <w:sz w:val="28"/>
          <w:szCs w:val="28"/>
          <w:lang w:eastAsia="zh-CN"/>
        </w:rPr>
        <w:t>通江路2号</w:t>
      </w:r>
      <w:r>
        <w:rPr>
          <w:rFonts w:ascii="宋体" w:hAnsi="宋体" w:eastAsia="宋体" w:cs="宋体"/>
          <w:color w:val="000000"/>
          <w:kern w:val="0"/>
          <w:sz w:val="28"/>
          <w:szCs w:val="28"/>
        </w:rPr>
        <w:t>办公楼</w:t>
      </w:r>
      <w:r>
        <w:rPr>
          <w:rFonts w:hint="eastAsia" w:ascii="宋体" w:hAnsi="宋体" w:eastAsia="宋体" w:cs="宋体"/>
          <w:color w:val="000000"/>
          <w:kern w:val="0"/>
          <w:sz w:val="28"/>
          <w:szCs w:val="28"/>
        </w:rPr>
        <w:t>5楼</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七、违约责任：按相关法律法规规定执行。</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八、最终解释权归招标方所有。</w:t>
      </w: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
      <w:pPr>
        <w:pStyle w:val="4"/>
        <w:rPr>
          <w:rFonts w:ascii="宋体" w:hAnsi="宋体" w:cs="宋体"/>
          <w:color w:val="000000"/>
        </w:rPr>
      </w:pPr>
      <w:r>
        <w:rPr>
          <w:rFonts w:hint="eastAsia" w:ascii="宋体" w:hAnsi="宋体" w:cs="宋体"/>
          <w:color w:val="000000"/>
          <w:highlight w:val="white"/>
        </w:rPr>
        <w:t>第二章 投标人须知</w:t>
      </w:r>
      <w:bookmarkEnd w:id="10"/>
      <w:bookmarkEnd w:id="11"/>
      <w:bookmarkEnd w:id="12"/>
      <w:bookmarkEnd w:id="13"/>
      <w:bookmarkEnd w:id="14"/>
    </w:p>
    <w:p>
      <w:pPr>
        <w:pStyle w:val="5"/>
        <w:rPr>
          <w:rFonts w:ascii="宋体" w:hAnsi="宋体" w:eastAsia="宋体" w:cs="宋体"/>
          <w:color w:val="000000"/>
        </w:rPr>
      </w:pPr>
      <w:r>
        <w:rPr>
          <w:rFonts w:hint="eastAsia" w:ascii="宋体" w:hAnsi="宋体" w:eastAsia="宋体" w:cs="宋体"/>
          <w:color w:val="000000"/>
          <w:highlight w:val="white"/>
        </w:rPr>
        <w:t>投标人须知前附表</w:t>
      </w:r>
    </w:p>
    <w:tbl>
      <w:tblPr>
        <w:tblStyle w:val="52"/>
        <w:tblW w:w="10384" w:type="dxa"/>
        <w:jc w:val="center"/>
        <w:tblLayout w:type="fixed"/>
        <w:tblCellMar>
          <w:top w:w="0" w:type="dxa"/>
          <w:left w:w="108" w:type="dxa"/>
          <w:bottom w:w="0" w:type="dxa"/>
          <w:right w:w="108" w:type="dxa"/>
        </w:tblCellMar>
      </w:tblPr>
      <w:tblGrid>
        <w:gridCol w:w="992"/>
        <w:gridCol w:w="15"/>
        <w:gridCol w:w="2883"/>
        <w:gridCol w:w="6494"/>
      </w:tblGrid>
      <w:tr>
        <w:tblPrEx>
          <w:tblCellMar>
            <w:top w:w="0" w:type="dxa"/>
            <w:left w:w="108" w:type="dxa"/>
            <w:bottom w:w="0" w:type="dxa"/>
            <w:right w:w="108" w:type="dxa"/>
          </w:tblCellMar>
        </w:tblPrEx>
        <w:trPr>
          <w:trHeight w:val="418"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b/>
                <w:kern w:val="2"/>
                <w:sz w:val="21"/>
                <w:szCs w:val="22"/>
              </w:rPr>
            </w:pPr>
            <w:bookmarkStart w:id="29" w:name="_Toc275703046"/>
            <w:bookmarkStart w:id="30" w:name="_Toc152045529"/>
            <w:bookmarkStart w:id="31" w:name="_Toc179632546"/>
            <w:bookmarkStart w:id="32" w:name="_Toc152042305"/>
            <w:bookmarkStart w:id="33" w:name="_Toc144974497"/>
            <w:r>
              <w:rPr>
                <w:rFonts w:hint="eastAsia"/>
                <w:b/>
                <w:kern w:val="2"/>
                <w:sz w:val="21"/>
                <w:szCs w:val="22"/>
                <w:highlight w:val="white"/>
              </w:rPr>
              <w:t>条款号</w:t>
            </w:r>
            <w:bookmarkEnd w:id="29"/>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b/>
                <w:kern w:val="2"/>
                <w:sz w:val="21"/>
                <w:szCs w:val="22"/>
              </w:rPr>
            </w:pPr>
            <w:bookmarkStart w:id="34" w:name="_Toc275703047"/>
            <w:r>
              <w:rPr>
                <w:rFonts w:hint="eastAsia"/>
                <w:b/>
                <w:kern w:val="2"/>
                <w:sz w:val="21"/>
                <w:szCs w:val="22"/>
                <w:highlight w:val="white"/>
              </w:rPr>
              <w:t>条  款  名  称</w:t>
            </w:r>
            <w:bookmarkEnd w:id="34"/>
          </w:p>
        </w:tc>
        <w:tc>
          <w:tcPr>
            <w:tcW w:w="6494" w:type="dxa"/>
            <w:tcBorders>
              <w:top w:val="single" w:color="auto" w:sz="4" w:space="0"/>
              <w:left w:val="single" w:color="auto" w:sz="4" w:space="0"/>
              <w:bottom w:val="single" w:color="auto" w:sz="4" w:space="0"/>
              <w:right w:val="single" w:color="auto" w:sz="4" w:space="0"/>
            </w:tcBorders>
            <w:vAlign w:val="center"/>
          </w:tcPr>
          <w:p>
            <w:pPr>
              <w:pStyle w:val="3"/>
              <w:jc w:val="center"/>
              <w:rPr>
                <w:b/>
                <w:kern w:val="2"/>
                <w:sz w:val="21"/>
                <w:szCs w:val="22"/>
              </w:rPr>
            </w:pPr>
            <w:bookmarkStart w:id="35" w:name="_Toc275703048"/>
            <w:r>
              <w:rPr>
                <w:rFonts w:hint="eastAsia"/>
                <w:b/>
                <w:kern w:val="2"/>
                <w:sz w:val="21"/>
                <w:szCs w:val="22"/>
                <w:highlight w:val="white"/>
              </w:rPr>
              <w:t>编  列  内  容</w:t>
            </w:r>
            <w:bookmarkEnd w:id="35"/>
          </w:p>
        </w:tc>
      </w:tr>
      <w:tr>
        <w:tblPrEx>
          <w:tblCellMar>
            <w:top w:w="0" w:type="dxa"/>
            <w:left w:w="108" w:type="dxa"/>
            <w:bottom w:w="0" w:type="dxa"/>
            <w:right w:w="108" w:type="dxa"/>
          </w:tblCellMar>
        </w:tblPrEx>
        <w:trPr>
          <w:trHeight w:val="75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36" w:name="_Toc275703049"/>
            <w:r>
              <w:rPr>
                <w:rFonts w:hint="eastAsia"/>
                <w:kern w:val="2"/>
                <w:sz w:val="21"/>
                <w:szCs w:val="21"/>
                <w:highlight w:val="white"/>
              </w:rPr>
              <w:t>1</w:t>
            </w:r>
            <w:bookmarkEnd w:id="36"/>
            <w:r>
              <w:rPr>
                <w:rFonts w:hint="eastAsia"/>
                <w:kern w:val="2"/>
                <w:sz w:val="21"/>
                <w:szCs w:val="21"/>
                <w:highlight w:val="white"/>
              </w:rPr>
              <w:t>.1.2</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37" w:name="_Toc275703050"/>
            <w:r>
              <w:rPr>
                <w:rFonts w:hint="eastAsia"/>
              </w:rPr>
              <w:t>招标人</w:t>
            </w:r>
            <w:bookmarkEnd w:id="37"/>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bookmarkStart w:id="38" w:name="_Toc275703051"/>
            <w:r>
              <w:rPr>
                <w:rFonts w:hint="eastAsia"/>
                <w:color w:val="000000"/>
              </w:rPr>
              <w:t>名称：</w:t>
            </w:r>
            <w:bookmarkEnd w:id="38"/>
            <w:bookmarkStart w:id="39" w:name="_Toc275703052"/>
            <w:r>
              <w:rPr>
                <w:rFonts w:hint="eastAsia"/>
                <w:color w:val="000000"/>
              </w:rPr>
              <w:t>三峰靖江港务物流有限责任公司</w:t>
            </w:r>
          </w:p>
          <w:p>
            <w:pPr>
              <w:pStyle w:val="3"/>
              <w:rPr>
                <w:rFonts w:hint="eastAsia" w:eastAsia="宋体"/>
                <w:kern w:val="2"/>
                <w:sz w:val="21"/>
                <w:szCs w:val="21"/>
                <w:highlight w:val="white"/>
                <w:lang w:eastAsia="zh-CN"/>
              </w:rPr>
            </w:pPr>
            <w:r>
              <w:rPr>
                <w:rFonts w:hint="eastAsia"/>
                <w:color w:val="000000"/>
              </w:rPr>
              <w:t>地址：</w:t>
            </w:r>
            <w:bookmarkEnd w:id="39"/>
            <w:r>
              <w:rPr>
                <w:rFonts w:hint="eastAsia"/>
                <w:color w:val="000000"/>
              </w:rPr>
              <w:t>靖江市西来镇</w:t>
            </w:r>
            <w:r>
              <w:rPr>
                <w:rFonts w:hint="eastAsia"/>
                <w:color w:val="000000"/>
                <w:lang w:eastAsia="zh-CN"/>
              </w:rPr>
              <w:t>通江路2号</w:t>
            </w:r>
          </w:p>
        </w:tc>
      </w:tr>
      <w:tr>
        <w:tblPrEx>
          <w:tblCellMar>
            <w:top w:w="0" w:type="dxa"/>
            <w:left w:w="108" w:type="dxa"/>
            <w:bottom w:w="0" w:type="dxa"/>
            <w:right w:w="108" w:type="dxa"/>
          </w:tblCellMar>
        </w:tblPrEx>
        <w:trPr>
          <w:trHeight w:val="1505"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40" w:name="_Toc275703055"/>
            <w:r>
              <w:rPr>
                <w:rFonts w:hint="eastAsia"/>
                <w:kern w:val="2"/>
                <w:sz w:val="21"/>
                <w:szCs w:val="21"/>
                <w:highlight w:val="white"/>
              </w:rPr>
              <w:t>1.1</w:t>
            </w:r>
            <w:bookmarkEnd w:id="40"/>
            <w:r>
              <w:rPr>
                <w:rFonts w:hint="eastAsia"/>
                <w:kern w:val="2"/>
                <w:sz w:val="21"/>
                <w:szCs w:val="21"/>
                <w:highlight w:val="white"/>
              </w:rPr>
              <w:t>.3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41" w:name="_Toc275703056"/>
            <w:r>
              <w:rPr>
                <w:rFonts w:hint="eastAsia"/>
              </w:rPr>
              <w:t>招标代理机构</w:t>
            </w:r>
            <w:bookmarkEnd w:id="41"/>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bookmarkStart w:id="42" w:name="_Toc275703057"/>
            <w:r>
              <w:rPr>
                <w:rFonts w:hint="eastAsia"/>
                <w:color w:val="000000"/>
              </w:rPr>
              <w:t>名称：</w:t>
            </w:r>
            <w:bookmarkEnd w:id="42"/>
            <w:bookmarkStart w:id="43" w:name="_Toc275703058"/>
            <w:r>
              <w:rPr>
                <w:rFonts w:hint="eastAsia"/>
                <w:color w:val="000000"/>
              </w:rPr>
              <w:t>泰州市皓德工程管理有限公司</w:t>
            </w:r>
          </w:p>
          <w:p>
            <w:pPr>
              <w:pStyle w:val="3"/>
              <w:rPr>
                <w:color w:val="000000"/>
              </w:rPr>
            </w:pPr>
            <w:r>
              <w:rPr>
                <w:rFonts w:hint="eastAsia"/>
                <w:color w:val="000000"/>
              </w:rPr>
              <w:t>地址：</w:t>
            </w:r>
            <w:bookmarkEnd w:id="43"/>
            <w:r>
              <w:rPr>
                <w:rFonts w:hint="eastAsia"/>
                <w:color w:val="000000"/>
              </w:rPr>
              <w:t>靖江市</w:t>
            </w:r>
            <w:bookmarkStart w:id="44" w:name="_Toc275703059"/>
            <w:r>
              <w:rPr>
                <w:rFonts w:hint="eastAsia"/>
                <w:color w:val="000000"/>
              </w:rPr>
              <w:t xml:space="preserve">人民中路163号医药大厦6楼 </w:t>
            </w:r>
          </w:p>
          <w:p>
            <w:pPr>
              <w:pStyle w:val="3"/>
              <w:rPr>
                <w:kern w:val="2"/>
                <w:sz w:val="21"/>
                <w:szCs w:val="21"/>
              </w:rPr>
            </w:pPr>
            <w:r>
              <w:rPr>
                <w:rFonts w:hint="eastAsia"/>
                <w:color w:val="000000"/>
              </w:rPr>
              <w:t>联系人：</w:t>
            </w:r>
            <w:bookmarkEnd w:id="44"/>
            <w:bookmarkStart w:id="45" w:name="_Toc275703060"/>
            <w:r>
              <w:rPr>
                <w:rFonts w:hint="eastAsia"/>
                <w:color w:val="000000"/>
              </w:rPr>
              <w:t>侯小姐     电话：</w:t>
            </w:r>
            <w:bookmarkEnd w:id="45"/>
            <w:r>
              <w:rPr>
                <w:rFonts w:hint="eastAsia"/>
                <w:color w:val="000000"/>
              </w:rPr>
              <w:t>0523-84813886  13952621030</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46" w:name="_Toc275703061"/>
            <w:r>
              <w:rPr>
                <w:rFonts w:hint="eastAsia"/>
                <w:kern w:val="2"/>
                <w:sz w:val="21"/>
                <w:szCs w:val="21"/>
                <w:highlight w:val="white"/>
              </w:rPr>
              <w:t>1.</w:t>
            </w:r>
            <w:bookmarkEnd w:id="46"/>
            <w:r>
              <w:rPr>
                <w:rFonts w:hint="eastAsia"/>
                <w:kern w:val="2"/>
                <w:sz w:val="21"/>
                <w:szCs w:val="21"/>
                <w:highlight w:val="white"/>
              </w:rPr>
              <w:t>1.4</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47" w:name="_Toc275703062"/>
            <w:r>
              <w:rPr>
                <w:rFonts w:hint="eastAsia"/>
              </w:rPr>
              <w:t>项目名称</w:t>
            </w:r>
            <w:bookmarkEnd w:id="47"/>
          </w:p>
        </w:tc>
        <w:tc>
          <w:tcPr>
            <w:tcW w:w="6494" w:type="dxa"/>
            <w:tcBorders>
              <w:top w:val="single" w:color="auto" w:sz="4" w:space="0"/>
              <w:left w:val="single" w:color="auto" w:sz="4" w:space="0"/>
              <w:bottom w:val="single" w:color="auto" w:sz="4" w:space="0"/>
              <w:right w:val="single" w:color="auto" w:sz="4" w:space="0"/>
            </w:tcBorders>
            <w:vAlign w:val="center"/>
          </w:tcPr>
          <w:p>
            <w:pPr>
              <w:pStyle w:val="3"/>
              <w:jc w:val="both"/>
              <w:rPr>
                <w:kern w:val="2"/>
                <w:sz w:val="21"/>
                <w:szCs w:val="21"/>
                <w:highlight w:val="green"/>
              </w:rPr>
            </w:pPr>
            <w:r>
              <w:rPr>
                <w:color w:val="000000"/>
                <w:lang w:bidi="ar"/>
              </w:rPr>
              <w:t>2#</w:t>
            </w:r>
            <w:r>
              <w:rPr>
                <w:rFonts w:hint="eastAsia"/>
                <w:color w:val="000000"/>
                <w:lang w:eastAsia="zh-CN" w:bidi="ar"/>
              </w:rPr>
              <w:t>堆场</w:t>
            </w:r>
            <w:r>
              <w:rPr>
                <w:color w:val="000000"/>
                <w:lang w:bidi="ar"/>
              </w:rPr>
              <w:t>修复项目</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48" w:name="_Toc275703064"/>
            <w:r>
              <w:rPr>
                <w:rFonts w:hint="eastAsia"/>
                <w:kern w:val="2"/>
                <w:sz w:val="21"/>
                <w:szCs w:val="21"/>
                <w:highlight w:val="white"/>
              </w:rPr>
              <w:t>1.</w:t>
            </w:r>
            <w:bookmarkEnd w:id="48"/>
            <w:r>
              <w:rPr>
                <w:rFonts w:hint="eastAsia"/>
                <w:kern w:val="2"/>
                <w:sz w:val="21"/>
                <w:szCs w:val="21"/>
                <w:highlight w:val="white"/>
              </w:rPr>
              <w:t>1.5</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49" w:name="_Toc275703065"/>
            <w:r>
              <w:rPr>
                <w:rFonts w:hint="eastAsia"/>
              </w:rPr>
              <w:t>建设地点</w:t>
            </w:r>
            <w:bookmarkEnd w:id="49"/>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r>
              <w:rPr>
                <w:rFonts w:hint="eastAsia"/>
                <w:color w:val="000000"/>
              </w:rPr>
              <w:t>靖江市西来镇</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50" w:name="_Toc275703070"/>
            <w:r>
              <w:rPr>
                <w:rFonts w:hint="eastAsia"/>
                <w:kern w:val="2"/>
                <w:sz w:val="21"/>
                <w:szCs w:val="21"/>
                <w:highlight w:val="white"/>
              </w:rPr>
              <w:t>1.</w:t>
            </w:r>
            <w:bookmarkEnd w:id="50"/>
            <w:r>
              <w:rPr>
                <w:rFonts w:hint="eastAsia"/>
                <w:kern w:val="2"/>
                <w:sz w:val="21"/>
                <w:szCs w:val="21"/>
                <w:highlight w:val="white"/>
              </w:rPr>
              <w:t>2.3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51" w:name="_Toc275703071"/>
            <w:r>
              <w:rPr>
                <w:rFonts w:hint="eastAsia"/>
              </w:rPr>
              <w:t>资金落实情况</w:t>
            </w:r>
            <w:bookmarkEnd w:id="51"/>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r>
              <w:rPr>
                <w:rFonts w:hint="eastAsia"/>
                <w:color w:val="000000"/>
              </w:rPr>
              <w:t>自筹</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52" w:name="_Toc275703073"/>
            <w:r>
              <w:rPr>
                <w:rFonts w:hint="eastAsia"/>
                <w:kern w:val="2"/>
                <w:sz w:val="21"/>
                <w:szCs w:val="21"/>
                <w:highlight w:val="white"/>
              </w:rPr>
              <w:t>1.</w:t>
            </w:r>
            <w:bookmarkEnd w:id="52"/>
            <w:r>
              <w:rPr>
                <w:rFonts w:hint="eastAsia"/>
                <w:kern w:val="2"/>
                <w:sz w:val="21"/>
                <w:szCs w:val="21"/>
                <w:highlight w:val="white"/>
              </w:rPr>
              <w:t>3.1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53" w:name="_Toc275703074"/>
            <w:r>
              <w:rPr>
                <w:rFonts w:hint="eastAsia"/>
              </w:rPr>
              <w:t>招标范围</w:t>
            </w:r>
            <w:bookmarkEnd w:id="53"/>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bookmarkStart w:id="54" w:name="EBb9c741aed24d423e8b73c528bf1b9b8c"/>
            <w:r>
              <w:rPr>
                <w:rFonts w:hint="eastAsia"/>
                <w:color w:val="000000"/>
              </w:rPr>
              <w:t>工程量清单内工程</w:t>
            </w:r>
            <w:bookmarkEnd w:id="54"/>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55" w:name="_Toc275703075"/>
            <w:r>
              <w:rPr>
                <w:rFonts w:hint="eastAsia"/>
                <w:kern w:val="2"/>
                <w:sz w:val="21"/>
                <w:szCs w:val="21"/>
                <w:highlight w:val="white"/>
              </w:rPr>
              <w:t>1.</w:t>
            </w:r>
            <w:bookmarkEnd w:id="55"/>
            <w:r>
              <w:rPr>
                <w:rFonts w:hint="eastAsia"/>
                <w:kern w:val="2"/>
                <w:sz w:val="21"/>
                <w:szCs w:val="21"/>
                <w:highlight w:val="white"/>
              </w:rPr>
              <w:t>3.2</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56" w:name="_Toc275703076"/>
            <w:r>
              <w:rPr>
                <w:rFonts w:hint="eastAsia"/>
              </w:rPr>
              <w:t>计划工期</w:t>
            </w:r>
            <w:bookmarkEnd w:id="56"/>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bookmarkStart w:id="57" w:name="_Toc275703077"/>
            <w:r>
              <w:rPr>
                <w:rFonts w:hint="eastAsia"/>
                <w:color w:val="000000"/>
              </w:rPr>
              <w:t>计划工期</w:t>
            </w:r>
            <w:bookmarkStart w:id="58" w:name="EBf968361c88db47f98b6db2877dbfc14e"/>
            <w:bookmarkEnd w:id="58"/>
            <w:r>
              <w:rPr>
                <w:rFonts w:hint="eastAsia"/>
                <w:color w:val="000000"/>
              </w:rPr>
              <w:t>：</w:t>
            </w:r>
            <w:bookmarkEnd w:id="57"/>
            <w:r>
              <w:rPr>
                <w:rFonts w:hint="eastAsia"/>
                <w:color w:val="000000"/>
              </w:rPr>
              <w:t>50日历天</w:t>
            </w:r>
          </w:p>
        </w:tc>
      </w:tr>
      <w:tr>
        <w:tblPrEx>
          <w:tblCellMar>
            <w:top w:w="0" w:type="dxa"/>
            <w:left w:w="108" w:type="dxa"/>
            <w:bottom w:w="0" w:type="dxa"/>
            <w:right w:w="108" w:type="dxa"/>
          </w:tblCellMar>
        </w:tblPrEx>
        <w:trPr>
          <w:trHeight w:val="75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59" w:name="_Toc275703080"/>
            <w:r>
              <w:rPr>
                <w:rFonts w:hint="eastAsia"/>
                <w:kern w:val="2"/>
                <w:sz w:val="21"/>
                <w:szCs w:val="21"/>
                <w:highlight w:val="white"/>
              </w:rPr>
              <w:t>1.</w:t>
            </w:r>
            <w:bookmarkEnd w:id="59"/>
            <w:r>
              <w:rPr>
                <w:rFonts w:hint="eastAsia"/>
                <w:kern w:val="2"/>
                <w:sz w:val="21"/>
                <w:szCs w:val="21"/>
                <w:highlight w:val="white"/>
              </w:rPr>
              <w:t>3.3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60" w:name="_Toc275703081"/>
            <w:r>
              <w:rPr>
                <w:rFonts w:hint="eastAsia"/>
              </w:rPr>
              <w:t>质量要求</w:t>
            </w:r>
            <w:bookmarkEnd w:id="60"/>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color w:val="000000"/>
              </w:rPr>
            </w:pPr>
            <w:r>
              <w:rPr>
                <w:rFonts w:hint="eastAsia"/>
                <w:color w:val="000000"/>
              </w:rPr>
              <w:t>质量标准：</w:t>
            </w:r>
            <w:bookmarkStart w:id="61" w:name="EB93c9d8af7abe4ab5af1a5facd7c81ccf"/>
            <w:r>
              <w:rPr>
                <w:rFonts w:hint="eastAsia"/>
                <w:color w:val="000000"/>
              </w:rPr>
              <w:t>合格</w:t>
            </w:r>
            <w:bookmarkEnd w:id="61"/>
          </w:p>
          <w:p>
            <w:pPr>
              <w:pStyle w:val="3"/>
              <w:rPr>
                <w:color w:val="000000"/>
              </w:rPr>
            </w:pPr>
            <w:r>
              <w:rPr>
                <w:rFonts w:hint="eastAsia"/>
                <w:color w:val="000000"/>
              </w:rPr>
              <w:t>质量目标：</w:t>
            </w:r>
            <w:bookmarkStart w:id="62" w:name="EB8f40dc3459574906a636de31a39a4915"/>
            <w:r>
              <w:rPr>
                <w:rFonts w:hint="eastAsia"/>
                <w:color w:val="000000"/>
              </w:rPr>
              <w:t>合格</w:t>
            </w:r>
            <w:bookmarkEnd w:id="62"/>
          </w:p>
        </w:tc>
      </w:tr>
      <w:tr>
        <w:tblPrEx>
          <w:tblCellMar>
            <w:top w:w="0" w:type="dxa"/>
            <w:left w:w="108" w:type="dxa"/>
            <w:bottom w:w="0" w:type="dxa"/>
            <w:right w:w="108" w:type="dxa"/>
          </w:tblCellMar>
        </w:tblPrEx>
        <w:trPr>
          <w:trHeight w:val="2771"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highlight w:val="white"/>
              </w:rPr>
              <w:t>1.4.1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投标人资质条件、能力和信誉</w:t>
            </w:r>
          </w:p>
        </w:tc>
        <w:tc>
          <w:tcPr>
            <w:tcW w:w="649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1、必须是独立的企业法人，并在上年度年检合格。</w:t>
            </w:r>
          </w:p>
          <w:p>
            <w:pPr>
              <w:widowControl/>
              <w:jc w:val="left"/>
              <w:rPr>
                <w:rFonts w:ascii="宋体" w:hAnsi="宋体" w:eastAsia="宋体" w:cs="宋体"/>
                <w:color w:val="000000"/>
                <w:kern w:val="0"/>
                <w:sz w:val="24"/>
                <w:szCs w:val="24"/>
                <w:u w:val="single"/>
                <w:lang w:bidi="ar"/>
              </w:rPr>
            </w:pPr>
            <w:r>
              <w:rPr>
                <w:rFonts w:hint="eastAsia" w:ascii="宋体" w:hAnsi="宋体" w:eastAsia="宋体" w:cs="宋体"/>
                <w:color w:val="000000"/>
                <w:kern w:val="0"/>
                <w:sz w:val="24"/>
                <w:szCs w:val="24"/>
                <w:lang w:bidi="ar"/>
              </w:rPr>
              <w:t>2、必须具有</w:t>
            </w:r>
            <w:r>
              <w:rPr>
                <w:rFonts w:ascii="宋体" w:hAnsi="宋体" w:eastAsia="宋体" w:cs="宋体"/>
                <w:color w:val="000000"/>
                <w:kern w:val="0"/>
                <w:sz w:val="24"/>
                <w:szCs w:val="24"/>
                <w:lang w:bidi="ar"/>
              </w:rPr>
              <w:t>市政工程施工总承包</w:t>
            </w:r>
            <w:r>
              <w:rPr>
                <w:rFonts w:hint="eastAsia" w:ascii="宋体" w:hAnsi="宋体" w:eastAsia="宋体" w:cs="宋体"/>
                <w:color w:val="000000"/>
                <w:kern w:val="0"/>
                <w:sz w:val="24"/>
                <w:szCs w:val="24"/>
                <w:lang w:bidi="ar"/>
              </w:rPr>
              <w:t>三级（含）资质及以上、建筑业施工安全生产许可证，并在有效期内。其中投标人拟派项目负责人具有</w:t>
            </w:r>
            <w:r>
              <w:rPr>
                <w:rFonts w:ascii="宋体" w:hAnsi="宋体" w:eastAsia="宋体" w:cs="宋体"/>
                <w:color w:val="000000"/>
                <w:kern w:val="0"/>
                <w:sz w:val="24"/>
                <w:szCs w:val="24"/>
                <w:lang w:bidi="ar"/>
              </w:rPr>
              <w:t>市政公用工程二级建造师(含)以上资格，</w:t>
            </w:r>
            <w:r>
              <w:rPr>
                <w:rFonts w:hint="eastAsia" w:ascii="宋体" w:hAnsi="宋体" w:eastAsia="宋体" w:cs="宋体"/>
                <w:color w:val="000000"/>
                <w:kern w:val="0"/>
                <w:sz w:val="24"/>
                <w:szCs w:val="24"/>
                <w:lang w:bidi="ar"/>
              </w:rPr>
              <w:t>安全合格B证，并在有效期范围内。</w:t>
            </w:r>
          </w:p>
          <w:p>
            <w:pPr>
              <w:widowControl/>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3、本次招标不接受联合体投标。</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2.2.1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投标截止时间</w:t>
            </w:r>
          </w:p>
        </w:tc>
        <w:tc>
          <w:tcPr>
            <w:tcW w:w="6494" w:type="dxa"/>
            <w:tcBorders>
              <w:top w:val="single" w:color="auto" w:sz="4" w:space="0"/>
              <w:left w:val="single" w:color="auto" w:sz="4" w:space="0"/>
              <w:bottom w:val="single" w:color="auto" w:sz="4" w:space="0"/>
              <w:right w:val="single" w:color="auto" w:sz="4" w:space="0"/>
            </w:tcBorders>
            <w:vAlign w:val="center"/>
          </w:tcPr>
          <w:p>
            <w:pPr>
              <w:pStyle w:val="47"/>
              <w:shd w:val="clear" w:color="auto" w:fill="FFFFFF"/>
              <w:spacing w:before="0" w:beforeAutospacing="0" w:after="0" w:afterAutospacing="0" w:line="360" w:lineRule="auto"/>
              <w:rPr>
                <w:color w:val="000000" w:themeColor="text1"/>
                <w:kern w:val="2"/>
                <w:sz w:val="21"/>
                <w:szCs w:val="21"/>
                <w:highlight w:val="white"/>
                <w14:textFill>
                  <w14:solidFill>
                    <w14:schemeClr w14:val="tx1"/>
                  </w14:solidFill>
                </w14:textFill>
              </w:rPr>
            </w:pPr>
            <w:r>
              <w:rPr>
                <w:color w:val="000000" w:themeColor="text1"/>
                <w:kern w:val="2"/>
                <w:sz w:val="21"/>
                <w:szCs w:val="21"/>
                <w:highlight w:val="white"/>
                <w14:textFill>
                  <w14:solidFill>
                    <w14:schemeClr w14:val="tx1"/>
                  </w14:solidFill>
                </w14:textFill>
              </w:rPr>
              <w:t>2022年</w:t>
            </w:r>
            <w:r>
              <w:rPr>
                <w:rFonts w:hint="eastAsia"/>
                <w:color w:val="000000" w:themeColor="text1"/>
                <w:kern w:val="2"/>
                <w:sz w:val="21"/>
                <w:szCs w:val="21"/>
                <w:highlight w:val="white"/>
                <w14:textFill>
                  <w14:solidFill>
                    <w14:schemeClr w14:val="tx1"/>
                  </w14:solidFill>
                </w14:textFill>
              </w:rPr>
              <w:t>8</w:t>
            </w:r>
            <w:r>
              <w:rPr>
                <w:color w:val="000000" w:themeColor="text1"/>
                <w:kern w:val="2"/>
                <w:sz w:val="21"/>
                <w:szCs w:val="21"/>
                <w:highlight w:val="white"/>
                <w14:textFill>
                  <w14:solidFill>
                    <w14:schemeClr w14:val="tx1"/>
                  </w14:solidFill>
                </w14:textFill>
              </w:rPr>
              <w:t>月</w:t>
            </w:r>
            <w:r>
              <w:rPr>
                <w:rFonts w:hint="eastAsia"/>
                <w:color w:val="000000" w:themeColor="text1"/>
                <w:kern w:val="2"/>
                <w:sz w:val="21"/>
                <w:szCs w:val="21"/>
                <w:highlight w:val="white"/>
                <w:lang w:val="en-US" w:eastAsia="zh-CN"/>
                <w14:textFill>
                  <w14:solidFill>
                    <w14:schemeClr w14:val="tx1"/>
                  </w14:solidFill>
                </w14:textFill>
              </w:rPr>
              <w:t>25</w:t>
            </w:r>
            <w:r>
              <w:rPr>
                <w:color w:val="000000" w:themeColor="text1"/>
                <w:kern w:val="2"/>
                <w:sz w:val="21"/>
                <w:szCs w:val="21"/>
                <w:highlight w:val="white"/>
                <w14:textFill>
                  <w14:solidFill>
                    <w14:schemeClr w14:val="tx1"/>
                  </w14:solidFill>
                </w14:textFill>
              </w:rPr>
              <w:t>日</w:t>
            </w:r>
            <w:r>
              <w:rPr>
                <w:rFonts w:hint="eastAsia"/>
                <w:color w:val="000000" w:themeColor="text1"/>
                <w:kern w:val="2"/>
                <w:sz w:val="21"/>
                <w:szCs w:val="21"/>
                <w:highlight w:val="white"/>
                <w14:textFill>
                  <w14:solidFill>
                    <w14:schemeClr w14:val="tx1"/>
                  </w14:solidFill>
                </w14:textFill>
              </w:rPr>
              <w:t>14</w:t>
            </w:r>
            <w:r>
              <w:rPr>
                <w:color w:val="000000" w:themeColor="text1"/>
                <w:kern w:val="2"/>
                <w:sz w:val="21"/>
                <w:szCs w:val="21"/>
                <w:highlight w:val="white"/>
                <w14:textFill>
                  <w14:solidFill>
                    <w14:schemeClr w14:val="tx1"/>
                  </w14:solidFill>
                </w14:textFill>
              </w:rPr>
              <w:t>点</w:t>
            </w:r>
            <w:r>
              <w:rPr>
                <w:rFonts w:hint="eastAsia"/>
                <w:color w:val="000000" w:themeColor="text1"/>
                <w:kern w:val="2"/>
                <w:sz w:val="21"/>
                <w:szCs w:val="21"/>
                <w:highlight w:val="white"/>
                <w14:textFill>
                  <w14:solidFill>
                    <w14:schemeClr w14:val="tx1"/>
                  </w14:solidFill>
                </w14:textFill>
              </w:rPr>
              <w:t>30</w:t>
            </w:r>
            <w:r>
              <w:rPr>
                <w:color w:val="000000" w:themeColor="text1"/>
                <w:kern w:val="2"/>
                <w:sz w:val="21"/>
                <w:szCs w:val="21"/>
                <w:highlight w:val="white"/>
                <w14:textFill>
                  <w14:solidFill>
                    <w14:schemeClr w14:val="tx1"/>
                  </w14:solidFill>
                </w14:textFill>
              </w:rPr>
              <w:t>分（北京时间）</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3.2.1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招标控制价</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highlight w:val="white"/>
              </w:rPr>
            </w:pPr>
            <w:r>
              <w:rPr>
                <w:rFonts w:hint="eastAsia"/>
                <w:color w:val="000000"/>
                <w:lang w:bidi="ar"/>
              </w:rPr>
              <w:t>3301369</w:t>
            </w:r>
            <w:r>
              <w:rPr>
                <w:rFonts w:hint="eastAsia"/>
                <w:kern w:val="2"/>
                <w:sz w:val="21"/>
                <w:szCs w:val="21"/>
                <w:highlight w:val="white"/>
              </w:rPr>
              <w:t>元</w:t>
            </w:r>
          </w:p>
        </w:tc>
      </w:tr>
      <w:tr>
        <w:tblPrEx>
          <w:tblCellMar>
            <w:top w:w="0" w:type="dxa"/>
            <w:left w:w="108" w:type="dxa"/>
            <w:bottom w:w="0" w:type="dxa"/>
            <w:right w:w="108" w:type="dxa"/>
          </w:tblCellMar>
        </w:tblPrEx>
        <w:trPr>
          <w:trHeight w:val="354"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highlight w:val="white"/>
              </w:rPr>
            </w:pPr>
            <w:r>
              <w:rPr>
                <w:rFonts w:hint="eastAsia"/>
                <w:kern w:val="2"/>
                <w:sz w:val="21"/>
                <w:szCs w:val="21"/>
                <w:highlight w:val="white"/>
              </w:rPr>
              <w:t>3.2.2</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最高限价</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highlight w:val="white"/>
              </w:rPr>
            </w:pPr>
            <w:r>
              <w:rPr>
                <w:rFonts w:hint="eastAsia"/>
                <w:color w:val="000000"/>
                <w:lang w:bidi="ar"/>
              </w:rPr>
              <w:t>3301369</w:t>
            </w:r>
            <w:bookmarkStart w:id="316" w:name="_GoBack"/>
            <w:bookmarkEnd w:id="316"/>
            <w:r>
              <w:rPr>
                <w:rFonts w:hint="eastAsia"/>
                <w:color w:val="000000" w:themeColor="text1"/>
                <w:kern w:val="2"/>
                <w:sz w:val="21"/>
                <w:szCs w:val="21"/>
                <w:highlight w:val="white"/>
                <w14:textFill>
                  <w14:solidFill>
                    <w14:schemeClr w14:val="tx1"/>
                  </w14:solidFill>
                </w14:textFill>
              </w:rPr>
              <w:t>元</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highlight w:val="white"/>
              </w:rPr>
            </w:pPr>
            <w:r>
              <w:rPr>
                <w:rFonts w:hint="eastAsia"/>
                <w:kern w:val="2"/>
                <w:sz w:val="21"/>
                <w:szCs w:val="21"/>
                <w:highlight w:val="white"/>
              </w:rPr>
              <w:t>3.2.3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合同形式</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rPr>
            </w:pPr>
            <w:r>
              <w:rPr>
                <w:rFonts w:hint="eastAsia"/>
                <w:sz w:val="21"/>
                <w:szCs w:val="21"/>
              </w:rPr>
              <w:t>固定单价合同</w:t>
            </w:r>
          </w:p>
        </w:tc>
      </w:tr>
      <w:tr>
        <w:tblPrEx>
          <w:tblCellMar>
            <w:top w:w="0" w:type="dxa"/>
            <w:left w:w="108" w:type="dxa"/>
            <w:bottom w:w="0" w:type="dxa"/>
            <w:right w:w="108" w:type="dxa"/>
          </w:tblCellMar>
        </w:tblPrEx>
        <w:trPr>
          <w:trHeight w:val="3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3.3.1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63" w:name="_Toc275703144"/>
            <w:r>
              <w:rPr>
                <w:rFonts w:hint="eastAsia"/>
              </w:rPr>
              <w:t>投标有效期</w:t>
            </w:r>
            <w:bookmarkEnd w:id="63"/>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rPr>
            </w:pPr>
            <w:bookmarkStart w:id="64" w:name="_Toc275703145"/>
            <w:r>
              <w:rPr>
                <w:rFonts w:hint="eastAsia"/>
                <w:kern w:val="2"/>
                <w:sz w:val="21"/>
                <w:szCs w:val="21"/>
                <w:highlight w:val="white"/>
              </w:rPr>
              <w:t>自投标人提交投标文件截止之日起计算</w:t>
            </w:r>
            <w:bookmarkStart w:id="65" w:name="EB6bd1f7092c9547669f40d478ac8b68d2"/>
            <w:r>
              <w:rPr>
                <w:rFonts w:hint="eastAsia"/>
                <w:kern w:val="2"/>
                <w:sz w:val="21"/>
                <w:szCs w:val="21"/>
                <w:highlight w:val="white"/>
                <w:u w:val="single"/>
              </w:rPr>
              <w:t>60</w:t>
            </w:r>
            <w:bookmarkEnd w:id="65"/>
            <w:r>
              <w:rPr>
                <w:rFonts w:hint="eastAsia"/>
                <w:kern w:val="2"/>
                <w:sz w:val="21"/>
                <w:szCs w:val="21"/>
                <w:highlight w:val="white"/>
              </w:rPr>
              <w:t>天</w:t>
            </w:r>
            <w:bookmarkEnd w:id="64"/>
          </w:p>
        </w:tc>
      </w:tr>
      <w:tr>
        <w:tblPrEx>
          <w:tblCellMar>
            <w:top w:w="0" w:type="dxa"/>
            <w:left w:w="108" w:type="dxa"/>
            <w:bottom w:w="0" w:type="dxa"/>
            <w:right w:w="108" w:type="dxa"/>
          </w:tblCellMar>
        </w:tblPrEx>
        <w:trPr>
          <w:trHeight w:val="75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r>
              <w:rPr>
                <w:rFonts w:hint="eastAsia"/>
                <w:kern w:val="2"/>
                <w:sz w:val="21"/>
                <w:szCs w:val="21"/>
              </w:rPr>
              <w:t>5.1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bookmarkStart w:id="66" w:name="_Toc275703184"/>
            <w:r>
              <w:rPr>
                <w:rFonts w:hint="eastAsia"/>
              </w:rPr>
              <w:t>开标时间和地点</w:t>
            </w:r>
            <w:bookmarkEnd w:id="66"/>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b/>
                <w:color w:val="FF0000"/>
                <w:kern w:val="2"/>
                <w:sz w:val="21"/>
                <w:szCs w:val="21"/>
              </w:rPr>
            </w:pPr>
            <w:bookmarkStart w:id="67" w:name="_Toc275703185"/>
            <w:r>
              <w:rPr>
                <w:rFonts w:hint="eastAsia"/>
                <w:kern w:val="2"/>
                <w:sz w:val="21"/>
                <w:szCs w:val="21"/>
                <w:highlight w:val="white"/>
              </w:rPr>
              <w:t>开标时间：</w:t>
            </w:r>
            <w:bookmarkEnd w:id="67"/>
            <w:bookmarkStart w:id="68" w:name="EB10f1170d12104e22afa7e18059c6dcec"/>
            <w:bookmarkEnd w:id="68"/>
            <w:r>
              <w:rPr>
                <w:rFonts w:hint="eastAsia"/>
                <w:b/>
                <w:color w:val="FF0000"/>
                <w:kern w:val="2"/>
                <w:sz w:val="21"/>
                <w:szCs w:val="21"/>
              </w:rPr>
              <w:t>2022年8月</w:t>
            </w:r>
            <w:r>
              <w:rPr>
                <w:rFonts w:hint="eastAsia"/>
                <w:b/>
                <w:color w:val="FF0000"/>
                <w:kern w:val="2"/>
                <w:sz w:val="21"/>
                <w:szCs w:val="21"/>
                <w:lang w:val="en-US" w:eastAsia="zh-CN"/>
              </w:rPr>
              <w:t>25</w:t>
            </w:r>
            <w:r>
              <w:rPr>
                <w:rFonts w:hint="eastAsia"/>
                <w:b/>
                <w:color w:val="FF0000"/>
                <w:kern w:val="2"/>
                <w:sz w:val="21"/>
                <w:szCs w:val="21"/>
              </w:rPr>
              <w:t>日下午14:30分</w:t>
            </w:r>
          </w:p>
          <w:p>
            <w:pPr>
              <w:pStyle w:val="3"/>
              <w:rPr>
                <w:kern w:val="2"/>
                <w:sz w:val="21"/>
                <w:szCs w:val="21"/>
              </w:rPr>
            </w:pPr>
            <w:r>
              <w:rPr>
                <w:rFonts w:hint="eastAsia"/>
                <w:kern w:val="2"/>
                <w:sz w:val="21"/>
                <w:szCs w:val="21"/>
                <w:highlight w:val="white"/>
              </w:rPr>
              <w:t>开标地点：靖江市西来镇</w:t>
            </w:r>
            <w:r>
              <w:rPr>
                <w:rFonts w:hint="eastAsia"/>
                <w:kern w:val="2"/>
                <w:sz w:val="21"/>
                <w:szCs w:val="21"/>
                <w:highlight w:val="white"/>
                <w:lang w:eastAsia="zh-CN"/>
              </w:rPr>
              <w:t>通江路2号</w:t>
            </w:r>
            <w:r>
              <w:rPr>
                <w:kern w:val="2"/>
                <w:sz w:val="21"/>
                <w:szCs w:val="21"/>
                <w:highlight w:val="white"/>
              </w:rPr>
              <w:t>办公楼</w:t>
            </w:r>
            <w:r>
              <w:rPr>
                <w:rFonts w:hint="eastAsia"/>
                <w:kern w:val="2"/>
                <w:sz w:val="21"/>
                <w:szCs w:val="21"/>
              </w:rPr>
              <w:t>5</w:t>
            </w:r>
            <w:r>
              <w:rPr>
                <w:rFonts w:hint="eastAsia"/>
                <w:kern w:val="2"/>
                <w:sz w:val="21"/>
                <w:szCs w:val="21"/>
                <w:highlight w:val="white"/>
              </w:rPr>
              <w:t>楼</w:t>
            </w:r>
          </w:p>
        </w:tc>
      </w:tr>
      <w:tr>
        <w:tblPrEx>
          <w:tblCellMar>
            <w:top w:w="0" w:type="dxa"/>
            <w:left w:w="108" w:type="dxa"/>
            <w:bottom w:w="0" w:type="dxa"/>
            <w:right w:w="108" w:type="dxa"/>
          </w:tblCellMar>
        </w:tblPrEx>
        <w:trPr>
          <w:trHeight w:val="64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69" w:name="_Toc275703194"/>
            <w:r>
              <w:rPr>
                <w:rFonts w:hint="eastAsia"/>
                <w:kern w:val="2"/>
                <w:sz w:val="21"/>
                <w:szCs w:val="21"/>
              </w:rPr>
              <w:t>6.3</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jc w:val="center"/>
            </w:pPr>
            <w:r>
              <w:rPr>
                <w:rFonts w:hint="eastAsia"/>
              </w:rPr>
              <w:t>评标办法</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kern w:val="2"/>
                <w:sz w:val="21"/>
                <w:szCs w:val="21"/>
                <w:highlight w:val="green"/>
              </w:rPr>
            </w:pPr>
            <w:bookmarkStart w:id="70" w:name="EB883cc73ca71241f28fdf4c7b84a889b4"/>
            <w:r>
              <w:rPr>
                <w:rFonts w:hint="eastAsia"/>
                <w:kern w:val="2"/>
                <w:sz w:val="21"/>
                <w:szCs w:val="21"/>
                <w:highlight w:val="white"/>
              </w:rPr>
              <w:t xml:space="preserve"> </w:t>
            </w:r>
            <w:r>
              <w:rPr>
                <w:rFonts w:hint="eastAsia"/>
                <w:kern w:val="2"/>
                <w:sz w:val="21"/>
                <w:szCs w:val="21"/>
                <w:highlight w:val="white"/>
              </w:rPr>
              <w:sym w:font="Wingdings 2" w:char="0052"/>
            </w:r>
            <w:r>
              <w:rPr>
                <w:rFonts w:hint="eastAsia"/>
                <w:kern w:val="2"/>
                <w:sz w:val="21"/>
                <w:szCs w:val="21"/>
                <w:highlight w:val="white"/>
              </w:rPr>
              <w:t>综合评估法□</w:t>
            </w:r>
            <w:r>
              <w:rPr>
                <w:rFonts w:hint="eastAsia"/>
                <w:kern w:val="2"/>
                <w:sz w:val="21"/>
                <w:szCs w:val="21"/>
              </w:rPr>
              <w:t>合理低价法</w:t>
            </w:r>
            <w:r>
              <w:rPr>
                <w:rFonts w:hint="eastAsia"/>
                <w:kern w:val="2"/>
                <w:sz w:val="21"/>
                <w:szCs w:val="21"/>
                <w:highlight w:val="white"/>
              </w:rPr>
              <w:t>□经评审的最低投标价法□合理价随机确定中标人法</w:t>
            </w:r>
            <w:bookmarkEnd w:id="70"/>
          </w:p>
        </w:tc>
      </w:tr>
      <w:tr>
        <w:tblPrEx>
          <w:tblCellMar>
            <w:top w:w="0" w:type="dxa"/>
            <w:left w:w="108" w:type="dxa"/>
            <w:bottom w:w="0" w:type="dxa"/>
            <w:right w:w="108" w:type="dxa"/>
          </w:tblCellMar>
        </w:tblPrEx>
        <w:trPr>
          <w:trHeight w:val="4198"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highlight w:val="white"/>
              </w:rPr>
            </w:pPr>
            <w:r>
              <w:rPr>
                <w:rFonts w:hint="eastAsia"/>
                <w:kern w:val="2"/>
                <w:sz w:val="21"/>
                <w:szCs w:val="21"/>
                <w:highlight w:val="white"/>
              </w:rPr>
              <w:t>7.3.1</w:t>
            </w:r>
          </w:p>
        </w:tc>
        <w:tc>
          <w:tcPr>
            <w:tcW w:w="2898" w:type="dxa"/>
            <w:gridSpan w:val="2"/>
            <w:tcBorders>
              <w:top w:val="single" w:color="auto" w:sz="4" w:space="0"/>
              <w:left w:val="single" w:color="auto" w:sz="4" w:space="0"/>
              <w:bottom w:val="single" w:color="auto" w:sz="4" w:space="0"/>
              <w:right w:val="single" w:color="auto" w:sz="4" w:space="0"/>
            </w:tcBorders>
            <w:vAlign w:val="center"/>
          </w:tcPr>
          <w:p>
            <w:pPr>
              <w:pStyle w:val="3"/>
              <w:ind w:firstLine="480" w:firstLineChars="200"/>
            </w:pPr>
            <w:r>
              <w:rPr>
                <w:rFonts w:hint="eastAsia"/>
              </w:rPr>
              <w:t>代理服务费</w:t>
            </w:r>
          </w:p>
          <w:p>
            <w:pPr>
              <w:pStyle w:val="3"/>
              <w:ind w:firstLine="720" w:firstLineChars="300"/>
            </w:pPr>
            <w:r>
              <w:rPr>
                <w:rFonts w:hint="eastAsia"/>
              </w:rPr>
              <w:t>收取标准</w:t>
            </w:r>
          </w:p>
        </w:tc>
        <w:tc>
          <w:tcPr>
            <w:tcW w:w="6494" w:type="dxa"/>
            <w:tcBorders>
              <w:top w:val="single" w:color="auto" w:sz="4" w:space="0"/>
              <w:left w:val="single" w:color="auto" w:sz="4" w:space="0"/>
              <w:bottom w:val="single" w:color="auto" w:sz="4" w:space="0"/>
              <w:right w:val="single" w:color="auto" w:sz="4" w:space="0"/>
            </w:tcBorders>
            <w:vAlign w:val="center"/>
          </w:tcPr>
          <w:p>
            <w:pPr>
              <w:pStyle w:val="3"/>
              <w:rPr>
                <w:szCs w:val="21"/>
              </w:rPr>
            </w:pPr>
            <w:r>
              <w:rPr>
                <w:rFonts w:hint="eastAsia"/>
                <w:szCs w:val="21"/>
              </w:rPr>
              <w:t>本项目招标代理费按发改价格【2011】534号文件以总中标价为基础按工程类招标服务相关标准计取，中标人在投标报价时综合考虑，在中标结果公示结束后向招标代理人全额支付该费用。</w:t>
            </w:r>
          </w:p>
          <w:p>
            <w:pPr>
              <w:pStyle w:val="3"/>
              <w:rPr>
                <w:szCs w:val="21"/>
              </w:rPr>
            </w:pPr>
            <w:r>
              <w:rPr>
                <w:rFonts w:hint="eastAsia"/>
                <w:szCs w:val="21"/>
              </w:rPr>
              <w:t>附：招标代理服务收费标准</w:t>
            </w:r>
            <w:r>
              <w:rPr>
                <w:szCs w:val="21"/>
              </w:rPr>
              <w:t xml:space="preserve"> [费用累进计取]：</w:t>
            </w:r>
          </w:p>
          <w:tbl>
            <w:tblPr>
              <w:tblStyle w:val="52"/>
              <w:tblW w:w="6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64"/>
              <w:gridCol w:w="1200"/>
              <w:gridCol w:w="143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序号</w:t>
                  </w:r>
                </w:p>
              </w:tc>
              <w:tc>
                <w:tcPr>
                  <w:tcW w:w="1964" w:type="dxa"/>
                  <w:vAlign w:val="center"/>
                </w:tcPr>
                <w:p>
                  <w:pPr>
                    <w:pStyle w:val="3"/>
                    <w:rPr>
                      <w:szCs w:val="21"/>
                    </w:rPr>
                  </w:pPr>
                  <w:r>
                    <w:rPr>
                      <w:rFonts w:hint="eastAsia"/>
                      <w:szCs w:val="21"/>
                    </w:rPr>
                    <w:t>中标金额（万元）</w:t>
                  </w:r>
                </w:p>
              </w:tc>
              <w:tc>
                <w:tcPr>
                  <w:tcW w:w="1200" w:type="dxa"/>
                  <w:vAlign w:val="center"/>
                </w:tcPr>
                <w:p>
                  <w:pPr>
                    <w:pStyle w:val="3"/>
                    <w:rPr>
                      <w:szCs w:val="21"/>
                    </w:rPr>
                  </w:pPr>
                  <w:r>
                    <w:rPr>
                      <w:rFonts w:hint="eastAsia"/>
                      <w:szCs w:val="21"/>
                    </w:rPr>
                    <w:t>货物招标</w:t>
                  </w:r>
                </w:p>
              </w:tc>
              <w:tc>
                <w:tcPr>
                  <w:tcW w:w="1431" w:type="dxa"/>
                  <w:vAlign w:val="center"/>
                </w:tcPr>
                <w:p>
                  <w:pPr>
                    <w:pStyle w:val="3"/>
                    <w:rPr>
                      <w:szCs w:val="21"/>
                    </w:rPr>
                  </w:pPr>
                  <w:r>
                    <w:rPr>
                      <w:rFonts w:hint="eastAsia"/>
                      <w:szCs w:val="21"/>
                    </w:rPr>
                    <w:t>服务招标</w:t>
                  </w:r>
                </w:p>
              </w:tc>
              <w:tc>
                <w:tcPr>
                  <w:tcW w:w="1091" w:type="dxa"/>
                  <w:vAlign w:val="center"/>
                </w:tcPr>
                <w:p>
                  <w:pPr>
                    <w:pStyle w:val="3"/>
                    <w:rPr>
                      <w:szCs w:val="21"/>
                    </w:rPr>
                  </w:pPr>
                  <w:r>
                    <w:rPr>
                      <w:rFonts w:hint="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1</w:t>
                  </w:r>
                </w:p>
              </w:tc>
              <w:tc>
                <w:tcPr>
                  <w:tcW w:w="1964" w:type="dxa"/>
                  <w:vAlign w:val="center"/>
                </w:tcPr>
                <w:p>
                  <w:pPr>
                    <w:pStyle w:val="3"/>
                    <w:rPr>
                      <w:szCs w:val="21"/>
                    </w:rPr>
                  </w:pPr>
                  <w:r>
                    <w:rPr>
                      <w:rFonts w:hint="eastAsia"/>
                      <w:szCs w:val="21"/>
                    </w:rPr>
                    <w:t>100以下</w:t>
                  </w:r>
                </w:p>
              </w:tc>
              <w:tc>
                <w:tcPr>
                  <w:tcW w:w="1200" w:type="dxa"/>
                  <w:vAlign w:val="center"/>
                </w:tcPr>
                <w:p>
                  <w:pPr>
                    <w:pStyle w:val="3"/>
                    <w:rPr>
                      <w:szCs w:val="21"/>
                    </w:rPr>
                  </w:pPr>
                  <w:r>
                    <w:rPr>
                      <w:rFonts w:hint="eastAsia"/>
                      <w:szCs w:val="21"/>
                    </w:rPr>
                    <w:t>1.50%</w:t>
                  </w:r>
                </w:p>
              </w:tc>
              <w:tc>
                <w:tcPr>
                  <w:tcW w:w="1431" w:type="dxa"/>
                  <w:vAlign w:val="center"/>
                </w:tcPr>
                <w:p>
                  <w:pPr>
                    <w:pStyle w:val="3"/>
                    <w:rPr>
                      <w:szCs w:val="21"/>
                    </w:rPr>
                  </w:pPr>
                  <w:r>
                    <w:rPr>
                      <w:rFonts w:hint="eastAsia"/>
                      <w:szCs w:val="21"/>
                    </w:rPr>
                    <w:t>1.50%</w:t>
                  </w:r>
                </w:p>
              </w:tc>
              <w:tc>
                <w:tcPr>
                  <w:tcW w:w="1091" w:type="dxa"/>
                  <w:vAlign w:val="center"/>
                </w:tcPr>
                <w:p>
                  <w:pPr>
                    <w:pStyle w:val="3"/>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2</w:t>
                  </w:r>
                </w:p>
              </w:tc>
              <w:tc>
                <w:tcPr>
                  <w:tcW w:w="1964" w:type="dxa"/>
                  <w:vAlign w:val="center"/>
                </w:tcPr>
                <w:p>
                  <w:pPr>
                    <w:pStyle w:val="3"/>
                    <w:rPr>
                      <w:szCs w:val="21"/>
                    </w:rPr>
                  </w:pPr>
                  <w:r>
                    <w:rPr>
                      <w:rFonts w:hint="eastAsia"/>
                      <w:szCs w:val="21"/>
                    </w:rPr>
                    <w:t>100~500</w:t>
                  </w:r>
                </w:p>
              </w:tc>
              <w:tc>
                <w:tcPr>
                  <w:tcW w:w="1200" w:type="dxa"/>
                  <w:vAlign w:val="center"/>
                </w:tcPr>
                <w:p>
                  <w:pPr>
                    <w:pStyle w:val="3"/>
                    <w:rPr>
                      <w:szCs w:val="21"/>
                    </w:rPr>
                  </w:pPr>
                  <w:r>
                    <w:rPr>
                      <w:rFonts w:hint="eastAsia"/>
                      <w:szCs w:val="21"/>
                    </w:rPr>
                    <w:t>1.1%</w:t>
                  </w:r>
                </w:p>
              </w:tc>
              <w:tc>
                <w:tcPr>
                  <w:tcW w:w="1431" w:type="dxa"/>
                  <w:vAlign w:val="center"/>
                </w:tcPr>
                <w:p>
                  <w:pPr>
                    <w:pStyle w:val="3"/>
                    <w:rPr>
                      <w:szCs w:val="21"/>
                    </w:rPr>
                  </w:pPr>
                  <w:r>
                    <w:rPr>
                      <w:rFonts w:hint="eastAsia"/>
                      <w:szCs w:val="21"/>
                    </w:rPr>
                    <w:t>0.80%</w:t>
                  </w:r>
                </w:p>
              </w:tc>
              <w:tc>
                <w:tcPr>
                  <w:tcW w:w="1091" w:type="dxa"/>
                  <w:vAlign w:val="center"/>
                </w:tcPr>
                <w:p>
                  <w:pPr>
                    <w:pStyle w:val="3"/>
                    <w:rPr>
                      <w:szCs w:val="21"/>
                    </w:rPr>
                  </w:pPr>
                  <w:r>
                    <w:rPr>
                      <w:rFonts w:hint="eastAsia"/>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3</w:t>
                  </w:r>
                </w:p>
              </w:tc>
              <w:tc>
                <w:tcPr>
                  <w:tcW w:w="1964" w:type="dxa"/>
                  <w:vAlign w:val="center"/>
                </w:tcPr>
                <w:p>
                  <w:pPr>
                    <w:pStyle w:val="3"/>
                    <w:rPr>
                      <w:szCs w:val="21"/>
                    </w:rPr>
                  </w:pPr>
                  <w:r>
                    <w:rPr>
                      <w:rFonts w:hint="eastAsia"/>
                      <w:szCs w:val="21"/>
                    </w:rPr>
                    <w:t>500~1000</w:t>
                  </w:r>
                </w:p>
              </w:tc>
              <w:tc>
                <w:tcPr>
                  <w:tcW w:w="1200" w:type="dxa"/>
                  <w:vAlign w:val="center"/>
                </w:tcPr>
                <w:p>
                  <w:pPr>
                    <w:pStyle w:val="3"/>
                    <w:rPr>
                      <w:szCs w:val="21"/>
                    </w:rPr>
                  </w:pPr>
                  <w:r>
                    <w:rPr>
                      <w:rFonts w:hint="eastAsia"/>
                      <w:szCs w:val="21"/>
                    </w:rPr>
                    <w:t>0.80%</w:t>
                  </w:r>
                </w:p>
              </w:tc>
              <w:tc>
                <w:tcPr>
                  <w:tcW w:w="1431" w:type="dxa"/>
                  <w:vAlign w:val="center"/>
                </w:tcPr>
                <w:p>
                  <w:pPr>
                    <w:pStyle w:val="3"/>
                    <w:rPr>
                      <w:szCs w:val="21"/>
                    </w:rPr>
                  </w:pPr>
                  <w:r>
                    <w:rPr>
                      <w:rFonts w:hint="eastAsia"/>
                      <w:szCs w:val="21"/>
                    </w:rPr>
                    <w:t>0.45%</w:t>
                  </w:r>
                </w:p>
              </w:tc>
              <w:tc>
                <w:tcPr>
                  <w:tcW w:w="1091" w:type="dxa"/>
                  <w:vAlign w:val="center"/>
                </w:tcPr>
                <w:p>
                  <w:pPr>
                    <w:pStyle w:val="3"/>
                    <w:rPr>
                      <w:szCs w:val="21"/>
                    </w:rPr>
                  </w:pPr>
                  <w:r>
                    <w:rPr>
                      <w:rFonts w:hint="eastAsia"/>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4</w:t>
                  </w:r>
                </w:p>
              </w:tc>
              <w:tc>
                <w:tcPr>
                  <w:tcW w:w="1964" w:type="dxa"/>
                  <w:vAlign w:val="center"/>
                </w:tcPr>
                <w:p>
                  <w:pPr>
                    <w:pStyle w:val="3"/>
                    <w:rPr>
                      <w:szCs w:val="21"/>
                    </w:rPr>
                  </w:pPr>
                  <w:r>
                    <w:rPr>
                      <w:rFonts w:hint="eastAsia"/>
                      <w:szCs w:val="21"/>
                    </w:rPr>
                    <w:t>1000~5000</w:t>
                  </w:r>
                </w:p>
              </w:tc>
              <w:tc>
                <w:tcPr>
                  <w:tcW w:w="1200" w:type="dxa"/>
                  <w:vAlign w:val="center"/>
                </w:tcPr>
                <w:p>
                  <w:pPr>
                    <w:pStyle w:val="3"/>
                    <w:rPr>
                      <w:szCs w:val="21"/>
                    </w:rPr>
                  </w:pPr>
                  <w:r>
                    <w:rPr>
                      <w:rFonts w:hint="eastAsia"/>
                      <w:szCs w:val="21"/>
                    </w:rPr>
                    <w:t>0.50%</w:t>
                  </w:r>
                </w:p>
              </w:tc>
              <w:tc>
                <w:tcPr>
                  <w:tcW w:w="1431" w:type="dxa"/>
                  <w:vAlign w:val="center"/>
                </w:tcPr>
                <w:p>
                  <w:pPr>
                    <w:pStyle w:val="3"/>
                    <w:rPr>
                      <w:szCs w:val="21"/>
                    </w:rPr>
                  </w:pPr>
                  <w:r>
                    <w:rPr>
                      <w:rFonts w:hint="eastAsia"/>
                      <w:szCs w:val="21"/>
                    </w:rPr>
                    <w:t>0.25%</w:t>
                  </w:r>
                </w:p>
              </w:tc>
              <w:tc>
                <w:tcPr>
                  <w:tcW w:w="1091" w:type="dxa"/>
                  <w:vAlign w:val="center"/>
                </w:tcPr>
                <w:p>
                  <w:pPr>
                    <w:pStyle w:val="3"/>
                    <w:rPr>
                      <w:szCs w:val="21"/>
                    </w:rPr>
                  </w:pPr>
                  <w:r>
                    <w:rPr>
                      <w:rFonts w:hint="eastAsia"/>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pPr>
                    <w:pStyle w:val="3"/>
                    <w:rPr>
                      <w:szCs w:val="21"/>
                    </w:rPr>
                  </w:pPr>
                  <w:r>
                    <w:rPr>
                      <w:rFonts w:hint="eastAsia"/>
                      <w:szCs w:val="21"/>
                    </w:rPr>
                    <w:t>5</w:t>
                  </w:r>
                </w:p>
              </w:tc>
              <w:tc>
                <w:tcPr>
                  <w:tcW w:w="1964" w:type="dxa"/>
                  <w:vAlign w:val="center"/>
                </w:tcPr>
                <w:p>
                  <w:pPr>
                    <w:pStyle w:val="3"/>
                    <w:rPr>
                      <w:szCs w:val="21"/>
                    </w:rPr>
                  </w:pPr>
                  <w:r>
                    <w:rPr>
                      <w:rFonts w:hint="eastAsia"/>
                      <w:szCs w:val="21"/>
                    </w:rPr>
                    <w:t>5000~10000</w:t>
                  </w:r>
                </w:p>
              </w:tc>
              <w:tc>
                <w:tcPr>
                  <w:tcW w:w="1200" w:type="dxa"/>
                  <w:vAlign w:val="center"/>
                </w:tcPr>
                <w:p>
                  <w:pPr>
                    <w:pStyle w:val="3"/>
                    <w:rPr>
                      <w:szCs w:val="21"/>
                    </w:rPr>
                  </w:pPr>
                  <w:r>
                    <w:rPr>
                      <w:rFonts w:hint="eastAsia"/>
                      <w:szCs w:val="21"/>
                    </w:rPr>
                    <w:t>0.25%</w:t>
                  </w:r>
                </w:p>
              </w:tc>
              <w:tc>
                <w:tcPr>
                  <w:tcW w:w="1431" w:type="dxa"/>
                  <w:vAlign w:val="center"/>
                </w:tcPr>
                <w:p>
                  <w:pPr>
                    <w:pStyle w:val="3"/>
                    <w:rPr>
                      <w:szCs w:val="21"/>
                    </w:rPr>
                  </w:pPr>
                  <w:r>
                    <w:rPr>
                      <w:rFonts w:hint="eastAsia"/>
                      <w:szCs w:val="21"/>
                    </w:rPr>
                    <w:t>0.10%</w:t>
                  </w:r>
                </w:p>
              </w:tc>
              <w:tc>
                <w:tcPr>
                  <w:tcW w:w="1091" w:type="dxa"/>
                  <w:vAlign w:val="center"/>
                </w:tcPr>
                <w:p>
                  <w:pPr>
                    <w:pStyle w:val="3"/>
                    <w:rPr>
                      <w:szCs w:val="21"/>
                    </w:rPr>
                  </w:pPr>
                  <w:r>
                    <w:rPr>
                      <w:rFonts w:hint="eastAsia"/>
                      <w:szCs w:val="21"/>
                    </w:rPr>
                    <w:t>0.20%</w:t>
                  </w:r>
                </w:p>
              </w:tc>
            </w:tr>
          </w:tbl>
          <w:p>
            <w:pPr>
              <w:pStyle w:val="3"/>
              <w:rPr>
                <w:sz w:val="21"/>
                <w:szCs w:val="21"/>
              </w:rPr>
            </w:pPr>
            <w:r>
              <w:rPr>
                <w:rFonts w:hint="eastAsia"/>
                <w:sz w:val="21"/>
                <w:szCs w:val="21"/>
              </w:rPr>
              <w:t>注：评委费根据评标实际情况另算，由中标单位支付。</w:t>
            </w:r>
          </w:p>
        </w:tc>
      </w:tr>
      <w:bookmarkEnd w:id="69"/>
      <w:tr>
        <w:tblPrEx>
          <w:tblCellMar>
            <w:top w:w="0" w:type="dxa"/>
            <w:left w:w="108" w:type="dxa"/>
            <w:bottom w:w="0" w:type="dxa"/>
            <w:right w:w="108" w:type="dxa"/>
          </w:tblCellMar>
        </w:tblPrEx>
        <w:trPr>
          <w:trHeight w:val="469" w:hRule="atLeast"/>
          <w:jc w:val="center"/>
        </w:trPr>
        <w:tc>
          <w:tcPr>
            <w:tcW w:w="10384" w:type="dxa"/>
            <w:gridSpan w:val="4"/>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rPr>
            </w:pPr>
            <w:bookmarkStart w:id="71" w:name="_Toc275703207"/>
            <w:r>
              <w:rPr>
                <w:rFonts w:hint="eastAsia"/>
                <w:b/>
                <w:kern w:val="2"/>
                <w:sz w:val="21"/>
                <w:szCs w:val="21"/>
                <w:highlight w:val="white"/>
              </w:rPr>
              <w:t>需要补充的其他内容</w:t>
            </w:r>
            <w:bookmarkEnd w:id="71"/>
          </w:p>
        </w:tc>
      </w:tr>
      <w:tr>
        <w:tblPrEx>
          <w:tblCellMar>
            <w:top w:w="0" w:type="dxa"/>
            <w:left w:w="108" w:type="dxa"/>
            <w:bottom w:w="0" w:type="dxa"/>
            <w:right w:w="108" w:type="dxa"/>
          </w:tblCellMar>
        </w:tblPrEx>
        <w:trPr>
          <w:trHeight w:val="90" w:hRule="atLeast"/>
          <w:jc w:val="center"/>
        </w:trPr>
        <w:tc>
          <w:tcPr>
            <w:tcW w:w="1007"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kern w:val="2"/>
                <w:sz w:val="21"/>
                <w:szCs w:val="21"/>
                <w:highlight w:val="white"/>
              </w:rPr>
            </w:pPr>
          </w:p>
        </w:tc>
        <w:tc>
          <w:tcPr>
            <w:tcW w:w="28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highlight w:val="white"/>
              </w:rPr>
            </w:pPr>
            <w:r>
              <w:rPr>
                <w:rFonts w:hint="eastAsia" w:ascii="宋体" w:hAnsi="宋体" w:eastAsia="宋体" w:cs="宋体"/>
                <w:szCs w:val="21"/>
                <w:highlight w:val="white"/>
              </w:rPr>
              <w:t>其他</w:t>
            </w:r>
          </w:p>
        </w:tc>
        <w:tc>
          <w:tcPr>
            <w:tcW w:w="649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eastAsia="宋体" w:cs="宋体"/>
                <w:kern w:val="0"/>
                <w:szCs w:val="21"/>
              </w:rPr>
            </w:pPr>
            <w:bookmarkStart w:id="72" w:name="EBc0ee6b8aad0447b6abfa22d801aa4453"/>
            <w:r>
              <w:rPr>
                <w:rFonts w:hint="eastAsia" w:ascii="宋体" w:hAnsi="宋体" w:eastAsia="宋体" w:cs="宋体"/>
                <w:kern w:val="0"/>
                <w:szCs w:val="21"/>
              </w:rPr>
              <w:t>招标文件中的其它内容与本条款不一致的，以本条款内容为准。</w:t>
            </w:r>
          </w:p>
          <w:bookmarkEnd w:id="72"/>
          <w:p>
            <w:pPr>
              <w:pStyle w:val="66"/>
              <w:ind w:firstLine="0" w:firstLineChars="0"/>
            </w:pPr>
            <w:r>
              <w:rPr>
                <w:rFonts w:ascii="宋体" w:hAnsi="宋体" w:eastAsia="宋体" w:cs="宋体"/>
                <w:kern w:val="0"/>
                <w:szCs w:val="21"/>
                <w:lang w:val="en-US"/>
              </w:rPr>
              <w:t>结算方式</w:t>
            </w:r>
            <w:r>
              <w:rPr>
                <w:rFonts w:hint="eastAsia" w:ascii="宋体" w:hAnsi="宋体" w:eastAsia="宋体" w:cs="宋体"/>
                <w:kern w:val="0"/>
                <w:szCs w:val="21"/>
                <w:lang w:val="en-US"/>
              </w:rPr>
              <w:t>：按实结算，具体付款方式双方另行协商。</w:t>
            </w:r>
          </w:p>
        </w:tc>
      </w:tr>
    </w:tbl>
    <w:p>
      <w:pPr>
        <w:rPr>
          <w:rFonts w:ascii="宋体" w:hAnsi="宋体" w:cs="宋体"/>
          <w:color w:val="000000"/>
          <w:highlight w:val="white"/>
        </w:rPr>
      </w:pPr>
      <w:bookmarkStart w:id="73" w:name="EBc441b5015e2b49e19353019f1a1506ab"/>
      <w:r>
        <w:rPr>
          <w:rFonts w:hint="eastAsia" w:ascii="宋体" w:hAnsi="宋体" w:eastAsia="宋体" w:cs="宋体"/>
          <w:color w:val="000000"/>
          <w:sz w:val="20"/>
          <w:highlight w:val="white"/>
        </w:rPr>
        <w:t xml:space="preserve"> </w:t>
      </w:r>
      <w:bookmarkEnd w:id="73"/>
    </w:p>
    <w:p>
      <w:pPr>
        <w:pStyle w:val="331"/>
        <w:rPr>
          <w:rFonts w:ascii="宋体" w:hAnsi="宋体" w:cs="宋体"/>
          <w:color w:val="000000"/>
          <w:highlight w:val="white"/>
        </w:rPr>
      </w:pPr>
      <w:r>
        <w:rPr>
          <w:rFonts w:hint="eastAsia" w:ascii="宋体" w:hAnsi="宋体" w:cs="宋体"/>
          <w:color w:val="000000"/>
          <w:highlight w:val="white"/>
        </w:rPr>
        <w:t>一.总则</w:t>
      </w:r>
    </w:p>
    <w:p>
      <w:pPr>
        <w:pStyle w:val="258"/>
        <w:rPr>
          <w:rFonts w:ascii="宋体" w:hAnsi="宋体" w:cs="宋体"/>
          <w:color w:val="000000"/>
          <w:highlight w:val="white"/>
        </w:rPr>
      </w:pPr>
      <w:bookmarkStart w:id="74" w:name="_Toc13288"/>
      <w:bookmarkStart w:id="75" w:name="_Toc5685"/>
      <w:bookmarkStart w:id="76" w:name="_Toc234382590"/>
      <w:bookmarkStart w:id="77" w:name="_Toc19746"/>
      <w:bookmarkStart w:id="78" w:name="_Toc9853"/>
      <w:r>
        <w:rPr>
          <w:rFonts w:hint="eastAsia" w:ascii="宋体" w:hAnsi="宋体" w:cs="宋体"/>
          <w:color w:val="000000"/>
          <w:highlight w:val="white"/>
        </w:rPr>
        <w:t>1项目概况</w:t>
      </w:r>
      <w:bookmarkEnd w:id="74"/>
      <w:bookmarkEnd w:id="75"/>
      <w:bookmarkEnd w:id="76"/>
      <w:bookmarkEnd w:id="77"/>
      <w:bookmarkEnd w:id="78"/>
    </w:p>
    <w:p>
      <w:pPr>
        <w:autoSpaceDE w:val="0"/>
        <w:autoSpaceDN w:val="0"/>
        <w:adjustRightInd w:val="0"/>
        <w:snapToGrid w:val="0"/>
        <w:spacing w:line="300" w:lineRule="auto"/>
        <w:ind w:firstLine="420" w:firstLineChars="200"/>
        <w:jc w:val="left"/>
        <w:rPr>
          <w:rFonts w:ascii="宋体" w:cs="仿宋_GB2312"/>
          <w:color w:val="000000"/>
          <w:kern w:val="0"/>
          <w:szCs w:val="21"/>
        </w:rPr>
      </w:pPr>
      <w:r>
        <w:rPr>
          <w:rFonts w:ascii="宋体" w:hAnsi="宋体" w:cs="TimesNewRomanPSMT"/>
          <w:color w:val="000000"/>
          <w:kern w:val="0"/>
          <w:szCs w:val="21"/>
        </w:rPr>
        <w:t xml:space="preserve"> </w:t>
      </w:r>
      <w:r>
        <w:rPr>
          <w:rFonts w:hint="eastAsia" w:ascii="宋体" w:hAnsi="宋体" w:cs="TimesNewRomanPSMT"/>
          <w:color w:val="000000"/>
          <w:kern w:val="0"/>
          <w:szCs w:val="21"/>
        </w:rPr>
        <w:t>1.1</w:t>
      </w:r>
      <w:r>
        <w:rPr>
          <w:rFonts w:hint="eastAsia" w:ascii="宋体" w:hAnsi="宋体" w:cs="仿宋_GB2312"/>
          <w:color w:val="000000"/>
          <w:kern w:val="0"/>
          <w:szCs w:val="21"/>
        </w:rPr>
        <w:t>根据《中华人民共和国招标投标法》等有关法律、法规和规章的规定要求，本招标项目已具备招标条件，现对本标段施工进行招标。</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1.1.2本招标项目招标人：见投标人须知前附表。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1.1.3本招标项目代理机构：见投标人须知前附表。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1.1.4本招标项目名称：见投标人须知前附表。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1.1.5本招标项目建设地点：见投标人须知前附表。</w:t>
      </w:r>
    </w:p>
    <w:p>
      <w:pPr>
        <w:pStyle w:val="258"/>
        <w:rPr>
          <w:rFonts w:ascii="宋体" w:hAnsi="宋体" w:cs="宋体"/>
          <w:color w:val="000000"/>
        </w:rPr>
      </w:pPr>
      <w:bookmarkStart w:id="79" w:name="_Toc15057"/>
      <w:bookmarkStart w:id="80" w:name="_Toc17989"/>
      <w:bookmarkStart w:id="81" w:name="_Toc234382591"/>
      <w:bookmarkStart w:id="82" w:name="_Toc30248"/>
      <w:bookmarkStart w:id="83" w:name="_Toc16868"/>
      <w:r>
        <w:rPr>
          <w:rFonts w:hint="eastAsia" w:ascii="宋体" w:hAnsi="宋体" w:cs="宋体"/>
          <w:color w:val="000000"/>
          <w:highlight w:val="white"/>
        </w:rPr>
        <w:t>1.2 资金来源和落实情况</w:t>
      </w:r>
      <w:bookmarkEnd w:id="79"/>
      <w:bookmarkEnd w:id="80"/>
      <w:bookmarkEnd w:id="81"/>
      <w:bookmarkEnd w:id="82"/>
      <w:bookmarkEnd w:id="8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1.2.3 本招标项目的资金落实情况：见投标人须知前附表。</w:t>
      </w:r>
    </w:p>
    <w:p>
      <w:pPr>
        <w:pStyle w:val="258"/>
        <w:rPr>
          <w:rFonts w:ascii="宋体" w:hAnsi="宋体" w:cs="宋体"/>
          <w:color w:val="000000"/>
        </w:rPr>
      </w:pPr>
      <w:bookmarkStart w:id="84" w:name="_Toc15430"/>
      <w:bookmarkStart w:id="85" w:name="_Toc234382592"/>
      <w:bookmarkStart w:id="86" w:name="_Toc23374"/>
      <w:bookmarkStart w:id="87" w:name="_Toc5734"/>
      <w:bookmarkStart w:id="88" w:name="_Toc19463"/>
      <w:r>
        <w:rPr>
          <w:rFonts w:hint="eastAsia" w:ascii="宋体" w:hAnsi="宋体" w:cs="宋体"/>
          <w:color w:val="000000"/>
          <w:highlight w:val="white"/>
        </w:rPr>
        <w:t>1.3 招标范围、计划工期和质量要求</w:t>
      </w:r>
      <w:bookmarkEnd w:id="84"/>
      <w:bookmarkEnd w:id="85"/>
      <w:bookmarkEnd w:id="86"/>
      <w:bookmarkEnd w:id="87"/>
      <w:bookmarkEnd w:id="8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1.3.1 本次招标范围：见投标人须知前附表。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1.3.2 本标段的计划工期：见投标人须知前附表。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1.3.3 本标段的质量要求：见投标人须知前附表。</w:t>
      </w:r>
    </w:p>
    <w:p>
      <w:pPr>
        <w:pStyle w:val="258"/>
        <w:rPr>
          <w:rFonts w:ascii="宋体" w:hAnsi="宋体" w:cs="宋体"/>
          <w:color w:val="000000"/>
        </w:rPr>
      </w:pPr>
      <w:bookmarkStart w:id="89" w:name="_Toc14837"/>
      <w:bookmarkStart w:id="90" w:name="_Toc9282"/>
      <w:bookmarkStart w:id="91" w:name="_Toc8093"/>
      <w:bookmarkStart w:id="92" w:name="_Toc234382594"/>
      <w:bookmarkStart w:id="93" w:name="_Toc31974"/>
      <w:r>
        <w:rPr>
          <w:rFonts w:hint="eastAsia" w:ascii="宋体" w:hAnsi="宋体" w:cs="宋体"/>
          <w:color w:val="000000"/>
          <w:highlight w:val="white"/>
        </w:rPr>
        <w:t>1.4 投标人资格要求</w:t>
      </w:r>
      <w:bookmarkEnd w:id="89"/>
      <w:bookmarkEnd w:id="90"/>
      <w:bookmarkEnd w:id="91"/>
      <w:bookmarkEnd w:id="92"/>
      <w:bookmarkEnd w:id="9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1.4.1 投标人应具备承担本标段施工的资质条件、能力和信誉。</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（1）资质条件：见投标人须知前附表；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（2）信誉要求：见投标人须知前附表;</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（3）项目经理资格：见投标人须知前附表；</w:t>
      </w:r>
    </w:p>
    <w:p>
      <w:pPr>
        <w:widowControl/>
        <w:spacing w:line="300" w:lineRule="atLeast"/>
        <w:ind w:firstLine="420" w:firstLineChars="200"/>
        <w:jc w:val="left"/>
        <w:rPr>
          <w:rFonts w:ascii="宋体" w:hAnsi="宋体" w:eastAsia="宋体" w:cs="宋体"/>
          <w:color w:val="000000"/>
          <w:kern w:val="0"/>
          <w:sz w:val="24"/>
          <w:szCs w:val="24"/>
        </w:rPr>
      </w:pPr>
      <w:r>
        <w:rPr>
          <w:rFonts w:hint="eastAsia" w:ascii="宋体" w:hAnsi="宋体" w:eastAsia="宋体" w:cs="宋体"/>
          <w:color w:val="000000"/>
          <w:szCs w:val="21"/>
          <w:highlight w:val="white"/>
        </w:rPr>
        <w:t>（4）其他要求：见投标人须知前附表</w:t>
      </w:r>
      <w:r>
        <w:rPr>
          <w:rFonts w:hint="eastAsia" w:ascii="宋体" w:hAnsi="宋体" w:eastAsia="宋体" w:cs="宋体"/>
          <w:color w:val="000000"/>
          <w:kern w:val="0"/>
          <w:sz w:val="24"/>
          <w:szCs w:val="24"/>
        </w:rPr>
        <w:t>项目负责人要求：</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1.4.2投标人不得存在下列情形之一：</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（1）为招标人不具有独立法人资格的附属机构（单位）；</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w:t>
      </w:r>
      <w:r>
        <w:rPr>
          <w:rFonts w:hint="eastAsia" w:ascii="宋体" w:hAnsi="宋体" w:eastAsia="宋体" w:cs="宋体"/>
          <w:color w:val="000000"/>
          <w:highlight w:val="white"/>
        </w:rPr>
        <w:t>为本标段前期准备提供设计或咨询服务的，但设计施工总承包的除外</w:t>
      </w:r>
      <w:r>
        <w:rPr>
          <w:rFonts w:hint="eastAsia" w:ascii="宋体" w:hAnsi="宋体" w:eastAsia="宋体" w:cs="宋体"/>
          <w:color w:val="000000"/>
          <w:szCs w:val="21"/>
          <w:highlight w:val="white"/>
        </w:rPr>
        <w:t>；</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（3）为本标段的监理人；</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（4）为本标段的代建人；</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（5）为本标段提供招标代理服务的；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（6）与本标段的监理人或代建人或招标代理机构同为一个法定代表人的；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（7）与本标段的监理人或代建人或招标代理机构相互控股或参股的；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（8）与本标段的监理人或代建人或招标代理机构相互任职或工作的；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（9）单位负责人为同一人或者存在控股、管理关系的不同单位的；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（10）被责令停业的；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（11）被暂停或取消投标资格的；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（12）财产被接管或冻结的；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（13）在最近三年内有骗取中标或严重违约或重大工程质量问题的。</w:t>
      </w:r>
    </w:p>
    <w:p>
      <w:pPr>
        <w:pStyle w:val="258"/>
        <w:rPr>
          <w:rFonts w:ascii="宋体" w:hAnsi="宋体" w:cs="宋体"/>
          <w:color w:val="000000"/>
        </w:rPr>
      </w:pPr>
      <w:bookmarkStart w:id="94" w:name="_Toc234382595"/>
      <w:bookmarkStart w:id="95" w:name="_Toc11177"/>
      <w:bookmarkStart w:id="96" w:name="_Toc6629"/>
      <w:bookmarkStart w:id="97" w:name="_Toc2814"/>
      <w:bookmarkStart w:id="98" w:name="_Toc20819"/>
      <w:r>
        <w:rPr>
          <w:rFonts w:hint="eastAsia" w:ascii="宋体" w:hAnsi="宋体" w:cs="宋体"/>
          <w:color w:val="000000"/>
          <w:highlight w:val="white"/>
        </w:rPr>
        <w:t>1.5 费用承担</w:t>
      </w:r>
      <w:bookmarkEnd w:id="94"/>
      <w:bookmarkEnd w:id="95"/>
      <w:bookmarkEnd w:id="96"/>
      <w:bookmarkEnd w:id="97"/>
      <w:bookmarkEnd w:id="9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1.5.1投标人准备和参加投标活动发生的费用自理。</w:t>
      </w:r>
    </w:p>
    <w:p>
      <w:pPr>
        <w:pStyle w:val="258"/>
        <w:rPr>
          <w:rFonts w:ascii="宋体" w:hAnsi="宋体" w:cs="宋体"/>
          <w:color w:val="000000"/>
        </w:rPr>
      </w:pPr>
      <w:bookmarkStart w:id="99" w:name="_Toc7584"/>
      <w:bookmarkStart w:id="100" w:name="_Toc19847"/>
      <w:bookmarkStart w:id="101" w:name="_Toc234382596"/>
      <w:bookmarkStart w:id="102" w:name="_Toc19219"/>
      <w:bookmarkStart w:id="103" w:name="_Toc8010"/>
      <w:r>
        <w:rPr>
          <w:rFonts w:hint="eastAsia" w:ascii="宋体" w:hAnsi="宋体" w:cs="宋体"/>
          <w:color w:val="000000"/>
          <w:highlight w:val="white"/>
        </w:rPr>
        <w:t>1.6 保密</w:t>
      </w:r>
      <w:bookmarkEnd w:id="99"/>
      <w:bookmarkEnd w:id="100"/>
      <w:bookmarkEnd w:id="101"/>
      <w:bookmarkEnd w:id="102"/>
      <w:bookmarkEnd w:id="10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参与招标投标活动的各方应对招标文件和投标文件中的商业和技术等秘密保密，违者应对由此造成的后果承担法律责任。</w:t>
      </w:r>
    </w:p>
    <w:p>
      <w:pPr>
        <w:pStyle w:val="258"/>
        <w:rPr>
          <w:rFonts w:ascii="宋体" w:hAnsi="宋体" w:cs="宋体"/>
          <w:color w:val="000000"/>
        </w:rPr>
      </w:pPr>
      <w:bookmarkStart w:id="104" w:name="_Toc24174"/>
      <w:bookmarkStart w:id="105" w:name="_Toc234382597"/>
      <w:bookmarkStart w:id="106" w:name="_Toc31991"/>
      <w:bookmarkStart w:id="107" w:name="_Toc12891"/>
      <w:bookmarkStart w:id="108" w:name="_Toc17814"/>
      <w:r>
        <w:rPr>
          <w:rFonts w:hint="eastAsia" w:ascii="宋体" w:hAnsi="宋体" w:cs="宋体"/>
          <w:color w:val="000000"/>
          <w:highlight w:val="white"/>
        </w:rPr>
        <w:t>1.7 语言文字</w:t>
      </w:r>
      <w:bookmarkEnd w:id="104"/>
      <w:bookmarkEnd w:id="105"/>
      <w:bookmarkEnd w:id="106"/>
      <w:bookmarkEnd w:id="107"/>
      <w:bookmarkEnd w:id="10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除专用术语外，与招标投标有关的语言均使用中文。必要时专用术语应附有中文注释。</w:t>
      </w:r>
    </w:p>
    <w:p>
      <w:pPr>
        <w:pStyle w:val="258"/>
        <w:rPr>
          <w:rFonts w:ascii="宋体" w:hAnsi="宋体" w:cs="宋体"/>
          <w:color w:val="000000"/>
        </w:rPr>
      </w:pPr>
      <w:bookmarkStart w:id="109" w:name="_Toc11731"/>
      <w:bookmarkStart w:id="110" w:name="_Toc234382598"/>
      <w:bookmarkStart w:id="111" w:name="_Toc3161"/>
      <w:bookmarkStart w:id="112" w:name="_Toc28015"/>
      <w:bookmarkStart w:id="113" w:name="_Toc11268"/>
      <w:r>
        <w:rPr>
          <w:rFonts w:hint="eastAsia" w:ascii="宋体" w:hAnsi="宋体" w:cs="宋体"/>
          <w:color w:val="000000"/>
          <w:highlight w:val="white"/>
        </w:rPr>
        <w:t>1.8 计量单位</w:t>
      </w:r>
      <w:bookmarkEnd w:id="109"/>
      <w:bookmarkEnd w:id="110"/>
      <w:bookmarkEnd w:id="111"/>
      <w:bookmarkEnd w:id="112"/>
      <w:bookmarkEnd w:id="11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所有计量均采用中华人民共和国法定计量单位。</w:t>
      </w:r>
    </w:p>
    <w:p>
      <w:pPr>
        <w:pStyle w:val="258"/>
        <w:rPr>
          <w:rFonts w:ascii="宋体" w:hAnsi="宋体" w:cs="宋体"/>
          <w:color w:val="000000"/>
        </w:rPr>
      </w:pPr>
      <w:bookmarkStart w:id="114" w:name="_Toc16235"/>
      <w:bookmarkStart w:id="115" w:name="_Toc27518"/>
      <w:bookmarkStart w:id="116" w:name="_Toc234382601"/>
      <w:bookmarkStart w:id="117" w:name="_Toc9559"/>
      <w:bookmarkStart w:id="118" w:name="_Toc6728"/>
      <w:r>
        <w:rPr>
          <w:rFonts w:hint="eastAsia" w:ascii="宋体" w:hAnsi="宋体" w:cs="宋体"/>
          <w:color w:val="000000"/>
          <w:highlight w:val="white"/>
        </w:rPr>
        <w:t>1.9分包</w:t>
      </w:r>
      <w:bookmarkEnd w:id="114"/>
      <w:bookmarkEnd w:id="115"/>
      <w:bookmarkEnd w:id="116"/>
      <w:bookmarkEnd w:id="117"/>
      <w:bookmarkEnd w:id="11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本项目严禁转包和违规分包，且不得再次分包。</w:t>
      </w:r>
    </w:p>
    <w:p>
      <w:pPr>
        <w:rPr>
          <w:rFonts w:ascii="宋体" w:hAnsi="宋体" w:eastAsia="宋体" w:cs="宋体"/>
          <w:color w:val="000000"/>
          <w:highlight w:val="cyan"/>
        </w:rPr>
      </w:pPr>
    </w:p>
    <w:p>
      <w:pPr>
        <w:rPr>
          <w:rFonts w:ascii="宋体" w:hAnsi="宋体" w:eastAsia="宋体" w:cs="宋体"/>
          <w:color w:val="000000"/>
          <w:highlight w:val="yellow"/>
        </w:rPr>
      </w:pPr>
      <w:bookmarkStart w:id="119" w:name="EB0b92e6035cb9470693a6715b5d4888ed"/>
      <w:r>
        <w:rPr>
          <w:rFonts w:hint="eastAsia" w:ascii="宋体" w:hAnsi="宋体" w:eastAsia="宋体" w:cs="宋体"/>
          <w:color w:val="000000"/>
          <w:sz w:val="20"/>
          <w:highlight w:val="white"/>
        </w:rPr>
        <w:t xml:space="preserve"> </w:t>
      </w:r>
      <w:bookmarkEnd w:id="119"/>
      <w:bookmarkStart w:id="120" w:name="EB0e3834cd1b8344c4bae6720d9b3e5636"/>
      <w:r>
        <w:rPr>
          <w:rFonts w:hint="eastAsia" w:ascii="宋体" w:hAnsi="宋体" w:eastAsia="宋体" w:cs="宋体"/>
          <w:color w:val="000000"/>
          <w:sz w:val="20"/>
          <w:highlight w:val="white"/>
        </w:rPr>
        <w:t xml:space="preserve"> </w:t>
      </w:r>
      <w:bookmarkEnd w:id="120"/>
    </w:p>
    <w:p>
      <w:pPr>
        <w:pStyle w:val="331"/>
        <w:rPr>
          <w:rFonts w:ascii="宋体" w:hAnsi="宋体" w:cs="宋体"/>
          <w:color w:val="000000"/>
        </w:rPr>
      </w:pPr>
      <w:bookmarkStart w:id="121" w:name="_Toc27925"/>
      <w:bookmarkStart w:id="122" w:name="_Toc23034"/>
      <w:bookmarkStart w:id="123" w:name="_Toc31544"/>
      <w:bookmarkStart w:id="124" w:name="_Toc21454"/>
      <w:bookmarkStart w:id="125" w:name="_Toc234382603"/>
      <w:r>
        <w:rPr>
          <w:rFonts w:hint="eastAsia" w:ascii="宋体" w:hAnsi="宋体" w:cs="宋体"/>
          <w:color w:val="000000"/>
          <w:highlight w:val="white"/>
        </w:rPr>
        <w:t>2. 招标文件</w:t>
      </w:r>
      <w:bookmarkEnd w:id="121"/>
      <w:bookmarkEnd w:id="122"/>
      <w:bookmarkEnd w:id="123"/>
      <w:bookmarkEnd w:id="124"/>
      <w:bookmarkEnd w:id="125"/>
    </w:p>
    <w:p>
      <w:pPr>
        <w:pStyle w:val="258"/>
        <w:rPr>
          <w:rFonts w:ascii="宋体" w:hAnsi="宋体" w:cs="宋体"/>
          <w:color w:val="000000"/>
        </w:rPr>
      </w:pPr>
      <w:bookmarkStart w:id="126" w:name="_Toc1196"/>
      <w:bookmarkStart w:id="127" w:name="_Toc8542"/>
      <w:bookmarkStart w:id="128" w:name="_Toc7851"/>
      <w:bookmarkStart w:id="129" w:name="_Toc31696"/>
      <w:bookmarkStart w:id="130" w:name="_Toc234382604"/>
      <w:r>
        <w:rPr>
          <w:rFonts w:hint="eastAsia" w:ascii="宋体" w:hAnsi="宋体" w:cs="宋体"/>
          <w:color w:val="000000"/>
          <w:highlight w:val="white"/>
        </w:rPr>
        <w:t>2.1 招标文件的组成</w:t>
      </w:r>
      <w:bookmarkEnd w:id="126"/>
      <w:bookmarkEnd w:id="127"/>
      <w:bookmarkEnd w:id="128"/>
      <w:bookmarkEnd w:id="129"/>
      <w:bookmarkEnd w:id="130"/>
    </w:p>
    <w:p>
      <w:pPr>
        <w:spacing w:line="400" w:lineRule="exact"/>
        <w:rPr>
          <w:rFonts w:ascii="宋体" w:hAnsi="宋体" w:eastAsia="宋体" w:cs="宋体"/>
          <w:color w:val="000000"/>
          <w:szCs w:val="21"/>
        </w:rPr>
      </w:pPr>
      <w:r>
        <w:rPr>
          <w:rFonts w:hint="eastAsia" w:ascii="宋体" w:hAnsi="宋体" w:eastAsia="宋体" w:cs="宋体"/>
          <w:color w:val="000000"/>
          <w:szCs w:val="21"/>
          <w:highlight w:val="white"/>
        </w:rPr>
        <w:t>本招标文件包括：</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（1）投标邀请书；</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（2）投标人须知；</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（3）评标办法；</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（4）合同条款及格式；</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（5）工程量清单；</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（6）技术规范；</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（7）投标文件格式；</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（8）投标人须知前附表规定的其他材料。</w:t>
      </w:r>
    </w:p>
    <w:p>
      <w:pPr>
        <w:spacing w:line="400" w:lineRule="exact"/>
        <w:ind w:firstLine="420" w:firstLineChars="200"/>
        <w:rPr>
          <w:rFonts w:ascii="宋体" w:hAnsi="宋体" w:eastAsia="宋体" w:cs="宋体"/>
          <w:color w:val="000000"/>
          <w:szCs w:val="21"/>
        </w:rPr>
      </w:pPr>
      <w:bookmarkStart w:id="131" w:name="_Toc234382605"/>
      <w:bookmarkStart w:id="132" w:name="_Toc15212"/>
      <w:bookmarkStart w:id="133" w:name="_Toc32285"/>
      <w:bookmarkStart w:id="134" w:name="_Toc20201"/>
      <w:r>
        <w:rPr>
          <w:rFonts w:hint="eastAsia" w:ascii="宋体" w:hAnsi="宋体" w:eastAsia="宋体" w:cs="宋体"/>
          <w:color w:val="000000"/>
          <w:szCs w:val="21"/>
          <w:highlight w:val="white"/>
        </w:rPr>
        <w:t>根据本章第2.2款和第2.3款对招标文件所作的澄清、修改，构成招标文件的组成部分。</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highlight w:val="white"/>
        </w:rPr>
        <w:t>投标人在投标截止时间前，应通过报名登记时所留邮箱随时查询。查询如有遗漏，其风险应由投标人自行承担。</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当招标文件、招标文件的澄清或修改等在同一内容的表述上不一致时，以最后发出的书面文件为准。</w:t>
      </w:r>
    </w:p>
    <w:p>
      <w:pPr>
        <w:pStyle w:val="258"/>
        <w:rPr>
          <w:rFonts w:ascii="宋体" w:hAnsi="宋体" w:cs="宋体"/>
          <w:color w:val="000000"/>
        </w:rPr>
      </w:pPr>
      <w:bookmarkStart w:id="135" w:name="_Toc17760"/>
      <w:r>
        <w:rPr>
          <w:rFonts w:hint="eastAsia" w:ascii="宋体" w:hAnsi="宋体" w:cs="宋体"/>
          <w:color w:val="000000"/>
          <w:highlight w:val="white"/>
        </w:rPr>
        <w:t>2.2 招标文件的澄清</w:t>
      </w:r>
      <w:bookmarkEnd w:id="131"/>
      <w:bookmarkEnd w:id="132"/>
      <w:bookmarkEnd w:id="133"/>
      <w:bookmarkEnd w:id="134"/>
      <w:bookmarkEnd w:id="135"/>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 xml:space="preserve">2.2.1 </w:t>
      </w:r>
      <w:r>
        <w:rPr>
          <w:rFonts w:hint="eastAsia" w:ascii="宋体" w:hAnsi="宋体" w:eastAsia="宋体" w:cs="宋体"/>
          <w:color w:val="000000"/>
          <w:highlight w:val="white"/>
        </w:rPr>
        <w:t>投标人收到招标文件后，</w:t>
      </w:r>
      <w:r>
        <w:rPr>
          <w:rFonts w:hint="eastAsia" w:ascii="宋体" w:hAnsi="宋体" w:eastAsia="宋体" w:cs="宋体"/>
          <w:color w:val="000000"/>
          <w:szCs w:val="21"/>
          <w:highlight w:val="white"/>
        </w:rPr>
        <w:t>应仔细阅读和检查招标文件的全部内容。如发现缺页或附件不全或对招标文件有疑问的，应在投标截止时间前3天通过邮箱以不署名的形式提出，要求招标人对招标文件予以澄清。</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2.2.2招标文件的澄清在投标人须知前附表规定的投标截止时间2天前发布，但不指明澄清问题的来源。如果澄清发出的澄清内容影响投标文件编制且不能满足投标人编制投标文件时间，招标人将视情况可能适当延长投标截止时间。</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2.2.3投标人应及时通过邮箱获取澄清后的招标文件，未按澄清后的招标文件编制的投标文件有可能被招投标小组否决。</w:t>
      </w:r>
    </w:p>
    <w:p>
      <w:pPr>
        <w:pStyle w:val="258"/>
        <w:rPr>
          <w:rFonts w:ascii="宋体" w:hAnsi="宋体" w:cs="宋体"/>
          <w:color w:val="000000"/>
        </w:rPr>
      </w:pPr>
      <w:bookmarkStart w:id="136" w:name="_Toc3425"/>
      <w:bookmarkStart w:id="137" w:name="_Toc30352"/>
      <w:bookmarkStart w:id="138" w:name="_Toc2995"/>
      <w:bookmarkStart w:id="139" w:name="_Toc27380"/>
      <w:bookmarkStart w:id="140" w:name="_Toc234382606"/>
      <w:r>
        <w:rPr>
          <w:rFonts w:hint="eastAsia" w:ascii="宋体" w:hAnsi="宋体" w:cs="宋体"/>
          <w:color w:val="000000"/>
          <w:highlight w:val="white"/>
        </w:rPr>
        <w:t>2.3 招标文件的修改</w:t>
      </w:r>
      <w:bookmarkEnd w:id="136"/>
      <w:bookmarkEnd w:id="137"/>
      <w:bookmarkEnd w:id="138"/>
      <w:bookmarkEnd w:id="139"/>
      <w:bookmarkEnd w:id="140"/>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2.3.1 在投标截止时间前，招标人可以修改招标文件。但如果修改招标文件内容影响投标文件编制且不能满足投标人编制投标文件时间，招标人将视情况可能适当延长投标截止时间。</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2.3.2投标人应及时获取修改后的招标文件，未按修改后的招标文件编制的投标文件有可能被招投标小组否决。</w:t>
      </w:r>
    </w:p>
    <w:p>
      <w:pPr>
        <w:pStyle w:val="258"/>
        <w:rPr>
          <w:rFonts w:ascii="宋体" w:hAnsi="宋体" w:cs="宋体"/>
          <w:color w:val="000000"/>
        </w:rPr>
      </w:pPr>
      <w:bookmarkStart w:id="141" w:name="_Toc13247"/>
      <w:bookmarkStart w:id="142" w:name="_Toc8018"/>
      <w:bookmarkStart w:id="143" w:name="_Toc11276"/>
      <w:r>
        <w:rPr>
          <w:rFonts w:hint="eastAsia" w:ascii="宋体" w:hAnsi="宋体" w:cs="宋体"/>
          <w:color w:val="000000"/>
          <w:highlight w:val="white"/>
        </w:rPr>
        <w:t>2.4 招标文件的异议</w:t>
      </w:r>
      <w:bookmarkEnd w:id="141"/>
      <w:bookmarkEnd w:id="142"/>
      <w:bookmarkEnd w:id="143"/>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2.4.1对招标文件有异议的，应当在投标截止时间3日前提出。</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2.4.2招标人应当自收到异议之日起3 日内作出答复；作出答复前，应当暂停招标投标活动。</w:t>
      </w:r>
    </w:p>
    <w:p>
      <w:pPr>
        <w:rPr>
          <w:rFonts w:ascii="宋体" w:hAnsi="宋体" w:eastAsia="宋体" w:cs="宋体"/>
          <w:color w:val="000000"/>
          <w:highlight w:val="cyan"/>
        </w:rPr>
      </w:pPr>
    </w:p>
    <w:p>
      <w:pPr>
        <w:rPr>
          <w:rFonts w:ascii="宋体" w:hAnsi="宋体" w:eastAsia="宋体" w:cs="宋体"/>
          <w:color w:val="000000"/>
          <w:highlight w:val="yellow"/>
        </w:rPr>
      </w:pPr>
      <w:bookmarkStart w:id="144" w:name="EB17774351d49b4b5aa0c7e01dc0595972"/>
      <w:r>
        <w:rPr>
          <w:rFonts w:hint="eastAsia" w:ascii="宋体" w:hAnsi="宋体" w:eastAsia="宋体" w:cs="宋体"/>
          <w:color w:val="000000"/>
          <w:sz w:val="20"/>
          <w:highlight w:val="white"/>
        </w:rPr>
        <w:t xml:space="preserve"> </w:t>
      </w:r>
      <w:bookmarkEnd w:id="144"/>
      <w:bookmarkStart w:id="145" w:name="EB324ee33b61d24f33aaf134ce9da5a513"/>
      <w:r>
        <w:rPr>
          <w:rFonts w:hint="eastAsia" w:ascii="宋体" w:hAnsi="宋体" w:eastAsia="宋体" w:cs="宋体"/>
          <w:color w:val="000000"/>
          <w:sz w:val="20"/>
          <w:highlight w:val="white"/>
        </w:rPr>
        <w:t xml:space="preserve"> </w:t>
      </w:r>
      <w:bookmarkEnd w:id="145"/>
    </w:p>
    <w:p>
      <w:pPr>
        <w:pStyle w:val="331"/>
        <w:rPr>
          <w:rFonts w:ascii="宋体" w:hAnsi="宋体" w:cs="宋体"/>
          <w:color w:val="000000"/>
        </w:rPr>
      </w:pPr>
      <w:bookmarkStart w:id="146" w:name="_Toc4259"/>
      <w:bookmarkStart w:id="147" w:name="_Toc1955"/>
      <w:bookmarkStart w:id="148" w:name="_Toc21604"/>
      <w:bookmarkStart w:id="149" w:name="_Toc234382607"/>
      <w:bookmarkStart w:id="150" w:name="_Toc1961"/>
      <w:r>
        <w:rPr>
          <w:rFonts w:hint="eastAsia" w:ascii="宋体" w:hAnsi="宋体" w:cs="宋体"/>
          <w:color w:val="000000"/>
          <w:highlight w:val="white"/>
        </w:rPr>
        <w:t>3. 投标文件</w:t>
      </w:r>
      <w:bookmarkEnd w:id="146"/>
      <w:bookmarkEnd w:id="147"/>
      <w:bookmarkEnd w:id="148"/>
      <w:bookmarkEnd w:id="149"/>
      <w:bookmarkEnd w:id="150"/>
    </w:p>
    <w:p>
      <w:pPr>
        <w:pStyle w:val="258"/>
        <w:rPr>
          <w:rFonts w:ascii="宋体" w:hAnsi="宋体" w:cs="宋体"/>
          <w:color w:val="000000"/>
        </w:rPr>
      </w:pPr>
      <w:bookmarkStart w:id="151" w:name="_Toc3214"/>
      <w:bookmarkStart w:id="152" w:name="_Toc15817"/>
      <w:bookmarkStart w:id="153" w:name="_Toc15148"/>
      <w:bookmarkStart w:id="154" w:name="_Toc234382608"/>
      <w:bookmarkStart w:id="155" w:name="_Toc22970"/>
      <w:r>
        <w:rPr>
          <w:rFonts w:hint="eastAsia" w:ascii="宋体" w:hAnsi="宋体" w:cs="宋体"/>
          <w:color w:val="000000"/>
          <w:highlight w:val="white"/>
        </w:rPr>
        <w:t>3.1 投标文件的组成</w:t>
      </w:r>
      <w:bookmarkEnd w:id="151"/>
      <w:bookmarkEnd w:id="152"/>
      <w:bookmarkEnd w:id="153"/>
      <w:bookmarkEnd w:id="154"/>
      <w:bookmarkEnd w:id="155"/>
    </w:p>
    <w:p>
      <w:pPr>
        <w:spacing w:line="400" w:lineRule="exact"/>
        <w:ind w:firstLine="420"/>
        <w:rPr>
          <w:rFonts w:ascii="宋体" w:hAnsi="宋体" w:eastAsia="宋体" w:cs="宋体"/>
        </w:rPr>
      </w:pPr>
      <w:bookmarkStart w:id="156" w:name="_Toc275703353"/>
      <w:bookmarkStart w:id="157" w:name="_Toc234382609"/>
      <w:bookmarkStart w:id="158" w:name="_Toc24155"/>
      <w:bookmarkStart w:id="159" w:name="_Toc7877"/>
      <w:bookmarkStart w:id="160" w:name="_Toc7823"/>
      <w:bookmarkStart w:id="161" w:name="_Toc12293"/>
      <w:r>
        <w:rPr>
          <w:rFonts w:hint="eastAsia" w:ascii="宋体" w:hAnsi="宋体" w:eastAsia="宋体" w:cs="宋体"/>
        </w:rPr>
        <w:t>3.1.1</w:t>
      </w:r>
      <w:bookmarkEnd w:id="156"/>
      <w:r>
        <w:rPr>
          <w:rFonts w:hint="eastAsia" w:ascii="宋体" w:hAnsi="宋体" w:eastAsia="宋体" w:cs="宋体"/>
        </w:rPr>
        <w:t>投 标 函；</w:t>
      </w:r>
    </w:p>
    <w:p>
      <w:pPr>
        <w:spacing w:line="400" w:lineRule="exact"/>
        <w:ind w:firstLine="308" w:firstLineChars="147"/>
        <w:rPr>
          <w:rFonts w:ascii="宋体" w:hAnsi="宋体" w:eastAsia="宋体" w:cs="宋体"/>
        </w:rPr>
      </w:pPr>
      <w:r>
        <w:rPr>
          <w:rFonts w:hint="eastAsia" w:ascii="宋体" w:hAnsi="宋体" w:eastAsia="宋体" w:cs="宋体"/>
        </w:rPr>
        <w:t xml:space="preserve"> 3.1.2法定代表人身份证明或附有法定代表人及委托人身份证明的授权委托书（除盖章、签字，其余内容均需电脑打印）； </w:t>
      </w:r>
    </w:p>
    <w:p>
      <w:pPr>
        <w:spacing w:line="400" w:lineRule="exact"/>
        <w:ind w:firstLine="420"/>
        <w:rPr>
          <w:rFonts w:ascii="宋体" w:hAnsi="宋体" w:eastAsia="宋体" w:cs="宋体"/>
        </w:rPr>
      </w:pPr>
      <w:r>
        <w:rPr>
          <w:rFonts w:hint="eastAsia" w:ascii="宋体" w:hAnsi="宋体" w:eastAsia="宋体" w:cs="宋体"/>
        </w:rPr>
        <w:t>3.1.3被授权委托人及项目负责人提供在投标单位近3个月社保证明，项目负责人资格证书及安全生产考核B证；</w:t>
      </w:r>
    </w:p>
    <w:p>
      <w:pPr>
        <w:spacing w:line="400" w:lineRule="exact"/>
        <w:ind w:firstLine="420"/>
        <w:rPr>
          <w:rFonts w:ascii="宋体" w:hAnsi="宋体" w:eastAsia="宋体" w:cs="宋体"/>
        </w:rPr>
      </w:pPr>
      <w:r>
        <w:rPr>
          <w:rFonts w:hint="eastAsia" w:ascii="宋体" w:hAnsi="宋体" w:eastAsia="宋体" w:cs="宋体"/>
        </w:rPr>
        <w:t>3.1.4企业法人营业执照；</w:t>
      </w:r>
    </w:p>
    <w:p>
      <w:pPr>
        <w:spacing w:line="400" w:lineRule="exact"/>
        <w:ind w:firstLine="420"/>
        <w:rPr>
          <w:rFonts w:ascii="宋体" w:hAnsi="宋体" w:eastAsia="宋体" w:cs="宋体"/>
        </w:rPr>
      </w:pPr>
      <w:r>
        <w:rPr>
          <w:rFonts w:hint="eastAsia" w:ascii="宋体" w:hAnsi="宋体" w:eastAsia="宋体" w:cs="宋体"/>
        </w:rPr>
        <w:t>3.1.5企业资质证书；</w:t>
      </w:r>
    </w:p>
    <w:p>
      <w:pPr>
        <w:spacing w:line="400" w:lineRule="exact"/>
        <w:ind w:firstLine="420"/>
        <w:rPr>
          <w:rFonts w:ascii="宋体" w:hAnsi="宋体" w:eastAsia="宋体" w:cs="宋体"/>
        </w:rPr>
      </w:pPr>
      <w:r>
        <w:rPr>
          <w:rFonts w:hint="eastAsia" w:ascii="宋体" w:hAnsi="宋体" w:eastAsia="宋体" w:cs="宋体"/>
        </w:rPr>
        <w:t>3.1.6安全生产许可证；</w:t>
      </w:r>
    </w:p>
    <w:p>
      <w:pPr>
        <w:spacing w:line="400" w:lineRule="exact"/>
        <w:ind w:firstLine="420"/>
        <w:rPr>
          <w:rFonts w:ascii="宋体" w:hAnsi="宋体" w:eastAsia="宋体" w:cs="宋体"/>
        </w:rPr>
      </w:pPr>
      <w:r>
        <w:rPr>
          <w:rFonts w:hint="eastAsia" w:ascii="宋体" w:hAnsi="宋体" w:eastAsia="宋体" w:cs="宋体"/>
        </w:rPr>
        <w:t>3.1.7 开户许可证明；</w:t>
      </w:r>
    </w:p>
    <w:p>
      <w:pPr>
        <w:spacing w:line="400" w:lineRule="exact"/>
        <w:ind w:firstLine="420"/>
        <w:rPr>
          <w:rFonts w:ascii="宋体" w:hAnsi="宋体" w:eastAsia="宋体" w:cs="宋体"/>
        </w:rPr>
      </w:pPr>
      <w:r>
        <w:rPr>
          <w:rFonts w:hint="eastAsia" w:ascii="宋体" w:hAnsi="宋体" w:eastAsia="宋体" w:cs="宋体"/>
        </w:rPr>
        <w:t>3.1.8投标保证金汇票复印件；</w:t>
      </w:r>
    </w:p>
    <w:p>
      <w:pPr>
        <w:spacing w:line="400" w:lineRule="exact"/>
        <w:ind w:firstLine="420"/>
        <w:rPr>
          <w:rFonts w:ascii="宋体" w:hAnsi="宋体" w:eastAsia="宋体" w:cs="宋体"/>
        </w:rPr>
      </w:pPr>
      <w:r>
        <w:rPr>
          <w:rFonts w:hint="eastAsia" w:ascii="宋体" w:hAnsi="宋体" w:eastAsia="宋体" w:cs="宋体"/>
        </w:rPr>
        <w:t>3.1.9 已标价工程量清单</w:t>
      </w:r>
    </w:p>
    <w:p>
      <w:pPr>
        <w:pStyle w:val="66"/>
        <w:ind w:firstLine="420"/>
        <w:rPr>
          <w:rFonts w:ascii="宋体" w:hAnsi="宋体" w:eastAsia="宋体" w:cs="宋体"/>
          <w:lang w:val="en-US"/>
        </w:rPr>
      </w:pPr>
      <w:r>
        <w:rPr>
          <w:rFonts w:hint="eastAsia" w:ascii="宋体" w:hAnsi="宋体" w:eastAsia="宋体" w:cs="宋体"/>
          <w:highlight w:val="yellow"/>
          <w:lang w:val="en-US"/>
        </w:rPr>
        <w:t>3.1.10开标一览表（单独密封）</w:t>
      </w:r>
    </w:p>
    <w:p>
      <w:pPr>
        <w:pStyle w:val="66"/>
        <w:ind w:firstLine="420"/>
        <w:rPr>
          <w:rFonts w:eastAsia="宋体"/>
          <w:lang w:val="en-US"/>
        </w:rPr>
      </w:pPr>
      <w:r>
        <w:rPr>
          <w:rFonts w:hint="eastAsia" w:ascii="宋体" w:hAnsi="宋体" w:eastAsia="宋体" w:cs="宋体"/>
          <w:lang w:val="en-US"/>
        </w:rPr>
        <w:t>3.1.11业绩及技术部分</w:t>
      </w:r>
    </w:p>
    <w:p>
      <w:pPr>
        <w:spacing w:line="400" w:lineRule="exact"/>
        <w:ind w:firstLine="420"/>
        <w:rPr>
          <w:rFonts w:ascii="宋体" w:hAnsi="宋体" w:eastAsia="宋体" w:cs="宋体"/>
        </w:rPr>
      </w:pPr>
      <w:r>
        <w:rPr>
          <w:rFonts w:hint="eastAsia" w:ascii="宋体" w:hAnsi="宋体" w:eastAsia="宋体" w:cs="宋体"/>
        </w:rPr>
        <w:t>以上资料一正二副，一式三份，3.1.1-3.1.11应加盖投标人公章 ，任意一条不满足招标文件要求均视为无效标书。</w:t>
      </w:r>
    </w:p>
    <w:p>
      <w:pPr>
        <w:spacing w:line="400" w:lineRule="exact"/>
        <w:ind w:firstLine="420"/>
        <w:rPr>
          <w:rFonts w:ascii="宋体" w:hAnsi="宋体" w:eastAsia="宋体" w:cs="宋体"/>
        </w:rPr>
      </w:pPr>
      <w:r>
        <w:rPr>
          <w:rFonts w:hint="eastAsia" w:ascii="宋体" w:hAnsi="宋体" w:eastAsia="宋体" w:cs="宋体"/>
          <w:highlight w:val="yellow"/>
        </w:rPr>
        <w:t>3.1.12单独成册</w:t>
      </w:r>
    </w:p>
    <w:p>
      <w:pPr>
        <w:pStyle w:val="258"/>
        <w:rPr>
          <w:rFonts w:ascii="宋体" w:hAnsi="宋体" w:cs="宋体"/>
          <w:color w:val="000000"/>
        </w:rPr>
      </w:pPr>
      <w:r>
        <w:rPr>
          <w:rFonts w:hint="eastAsia" w:ascii="宋体" w:hAnsi="宋体" w:cs="宋体"/>
          <w:color w:val="000000"/>
          <w:highlight w:val="white"/>
        </w:rPr>
        <w:t>3.2 投标报价</w:t>
      </w:r>
      <w:bookmarkEnd w:id="157"/>
      <w:bookmarkEnd w:id="158"/>
      <w:bookmarkEnd w:id="159"/>
      <w:bookmarkEnd w:id="160"/>
      <w:bookmarkEnd w:id="161"/>
      <w:r>
        <w:rPr>
          <w:rFonts w:hint="eastAsia" w:ascii="宋体" w:hAnsi="宋体" w:cs="宋体"/>
          <w:color w:val="000000"/>
          <w:highlight w:val="white"/>
        </w:rPr>
        <w:t xml:space="preserve"> </w:t>
      </w:r>
    </w:p>
    <w:p>
      <w:pPr>
        <w:spacing w:line="400" w:lineRule="exact"/>
        <w:ind w:firstLine="420" w:firstLineChars="200"/>
        <w:rPr>
          <w:rFonts w:ascii="宋体" w:hAnsi="宋体" w:eastAsia="宋体" w:cs="宋体"/>
          <w:color w:val="000000"/>
          <w:szCs w:val="21"/>
        </w:rPr>
      </w:pPr>
      <w:bookmarkStart w:id="162" w:name="_Toc18781"/>
      <w:bookmarkStart w:id="163" w:name="_Toc12192"/>
      <w:bookmarkStart w:id="164" w:name="_Toc234382610"/>
      <w:bookmarkStart w:id="165" w:name="_Toc15970"/>
      <w:bookmarkStart w:id="166" w:name="_Toc26761"/>
      <w:r>
        <w:rPr>
          <w:rFonts w:hint="eastAsia" w:ascii="宋体" w:hAnsi="宋体" w:eastAsia="宋体" w:cs="宋体"/>
          <w:color w:val="000000"/>
          <w:szCs w:val="21"/>
        </w:rPr>
        <w:t>3.2.1 投标人应根据施工现场实际情况、甲方要求等有关要求，按照企业定额或参照建设行政主管部门发布的现行消耗量定额以及工程造价管理机构发布的市场价格信息，并结合企业自身实际情况，进行工程投标报价并不得高于招标人设定的最高限价（即投标最高限价）。投标最高限价详见投标须知前附表。</w:t>
      </w:r>
    </w:p>
    <w:p>
      <w:pPr>
        <w:pStyle w:val="258"/>
        <w:rPr>
          <w:rFonts w:ascii="宋体" w:hAnsi="宋体" w:cs="宋体"/>
        </w:rPr>
      </w:pPr>
      <w:r>
        <w:rPr>
          <w:rFonts w:hint="eastAsia" w:ascii="宋体" w:hAnsi="宋体" w:cs="宋体"/>
          <w:highlight w:val="white"/>
        </w:rPr>
        <w:t>3.3 投标有效期</w:t>
      </w:r>
      <w:bookmarkEnd w:id="162"/>
      <w:bookmarkEnd w:id="163"/>
      <w:bookmarkEnd w:id="164"/>
      <w:bookmarkEnd w:id="165"/>
      <w:bookmarkEnd w:id="166"/>
    </w:p>
    <w:p>
      <w:pPr>
        <w:spacing w:line="400" w:lineRule="exact"/>
        <w:ind w:firstLine="420" w:firstLineChars="200"/>
        <w:rPr>
          <w:rFonts w:ascii="宋体" w:hAnsi="宋体" w:eastAsia="宋体" w:cs="宋体"/>
          <w:color w:val="000000"/>
          <w:szCs w:val="21"/>
        </w:rPr>
      </w:pPr>
      <w:bookmarkStart w:id="167" w:name="_Toc275703379"/>
      <w:bookmarkStart w:id="168" w:name="_Toc26617"/>
      <w:bookmarkStart w:id="169" w:name="_Toc11712"/>
      <w:bookmarkStart w:id="170" w:name="_Toc15402"/>
      <w:bookmarkStart w:id="171" w:name="_Toc8409"/>
      <w:bookmarkStart w:id="172" w:name="_Toc234382611"/>
      <w:r>
        <w:rPr>
          <w:rFonts w:hint="eastAsia" w:ascii="宋体" w:hAnsi="宋体" w:eastAsia="宋体" w:cs="宋体"/>
          <w:color w:val="000000"/>
          <w:szCs w:val="21"/>
        </w:rPr>
        <w:t>3.3.1 在投标人须知前附表规定的投标有效期内，投标人不得要求撤销或修改其投标文件。</w:t>
      </w:r>
      <w:bookmarkEnd w:id="167"/>
    </w:p>
    <w:p>
      <w:pPr>
        <w:spacing w:line="400" w:lineRule="exact"/>
        <w:ind w:firstLine="420" w:firstLineChars="200"/>
        <w:rPr>
          <w:rFonts w:ascii="宋体" w:hAnsi="宋体" w:eastAsia="宋体" w:cs="宋体"/>
          <w:color w:val="000000"/>
          <w:szCs w:val="21"/>
        </w:rPr>
      </w:pPr>
      <w:bookmarkStart w:id="173" w:name="_Toc275703380"/>
      <w:r>
        <w:rPr>
          <w:rFonts w:hint="eastAsia" w:ascii="宋体" w:hAnsi="宋体" w:eastAsia="宋体" w:cs="宋体"/>
          <w:color w:val="00000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bookmarkEnd w:id="173"/>
    </w:p>
    <w:bookmarkEnd w:id="168"/>
    <w:bookmarkEnd w:id="169"/>
    <w:bookmarkEnd w:id="170"/>
    <w:bookmarkEnd w:id="171"/>
    <w:bookmarkEnd w:id="172"/>
    <w:p>
      <w:pPr>
        <w:spacing w:line="400" w:lineRule="exact"/>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3.4  投标保证金</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3.4.1 投标人在投标截止时间前，应按投标人须知前附表规定的金额、形式、内容递交投标保证金，并作为其投标文件的组成部分。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投标保证金必须由投标人基本账户一次性汇出。以个人、企业办事处、分公司、子公司名义或他人账户、投标人企业的其它账户交纳的投标保证金无效。</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3.4.2 投标人汇出投标保证金时，须将载明的“项目名称”填入汇款单中的“用途栏”，未填写或者填写错误的，甲方将无法确认投标保证金是否缴纳，投标文件将被作无效投标文件处理。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3.4.3 投标人在缴纳投标保证金时，应充分考虑银行汇款的时间误差风险。无论何种原因，投标人投标保证金在投标截止时间止未到达招标人指定账户的，投标文件将被作无效投标文件处理。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3.4.4 有下列情形之一的，投标保证金将不予退还：</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（1）投标人在规定的投标有效期内撤销或修改其投标文件；</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（2）中标人在收到中标通知书后，无正当理由拒签合同协议书或未按招标文件规定提交履约担保；</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（3）投标人不接受依据评标办法的规定对其投标文件中细微偏差进行澄清和补正；</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（4）未按招标文件规定提交中标差额保证金；</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（5）投标人相互串通投标、弄虚作假或其他违法违规行为。</w:t>
      </w:r>
    </w:p>
    <w:p>
      <w:pPr>
        <w:pStyle w:val="258"/>
        <w:rPr>
          <w:rFonts w:ascii="宋体" w:hAnsi="宋体" w:cs="宋体"/>
          <w:color w:val="000000"/>
          <w:szCs w:val="21"/>
        </w:rPr>
      </w:pPr>
      <w:r>
        <w:rPr>
          <w:rFonts w:hint="eastAsia" w:ascii="宋体" w:hAnsi="宋体" w:cs="宋体"/>
          <w:color w:val="000000"/>
          <w:szCs w:val="21"/>
        </w:rPr>
        <w:t>3.5资格审查资料</w:t>
      </w:r>
    </w:p>
    <w:p>
      <w:pPr>
        <w:spacing w:line="400" w:lineRule="exact"/>
        <w:rPr>
          <w:rFonts w:ascii="宋体" w:hAnsi="宋体" w:eastAsia="宋体" w:cs="宋体"/>
          <w:color w:val="000000"/>
          <w:szCs w:val="21"/>
          <w:highlight w:val="white"/>
        </w:rPr>
      </w:pPr>
      <w:r>
        <w:rPr>
          <w:rFonts w:hint="eastAsia" w:ascii="宋体" w:hAnsi="宋体" w:eastAsia="宋体" w:cs="宋体"/>
          <w:color w:val="000000"/>
          <w:szCs w:val="21"/>
          <w:highlight w:val="white"/>
        </w:rPr>
        <w:t>3.5.1 资格审查资料详见</w:t>
      </w:r>
      <w:r>
        <w:rPr>
          <w:rFonts w:hint="eastAsia" w:ascii="宋体" w:hAnsi="宋体" w:eastAsia="宋体" w:cs="宋体"/>
          <w:color w:val="000000"/>
          <w:szCs w:val="21"/>
        </w:rPr>
        <w:t>评标办法前附表</w:t>
      </w:r>
      <w:r>
        <w:rPr>
          <w:rFonts w:hint="eastAsia" w:ascii="宋体" w:hAnsi="宋体" w:eastAsia="宋体" w:cs="宋体"/>
          <w:color w:val="000000"/>
          <w:szCs w:val="21"/>
          <w:highlight w:val="white"/>
        </w:rPr>
        <w:t>中资格评审标准；</w:t>
      </w:r>
    </w:p>
    <w:p>
      <w:pPr>
        <w:spacing w:line="400" w:lineRule="exact"/>
        <w:rPr>
          <w:rFonts w:ascii="宋体" w:hAnsi="宋体" w:eastAsia="宋体" w:cs="宋体"/>
          <w:color w:val="000000"/>
          <w:szCs w:val="21"/>
        </w:rPr>
      </w:pPr>
      <w:r>
        <w:rPr>
          <w:rFonts w:hint="eastAsia" w:ascii="宋体" w:hAnsi="宋体" w:eastAsia="宋体" w:cs="宋体"/>
          <w:color w:val="000000"/>
          <w:szCs w:val="21"/>
          <w:highlight w:val="white"/>
        </w:rPr>
        <w:t xml:space="preserve">3.5.2招标人将进一步核查投标人在资格申请文件中提供的材料，若在评标期间发现投标人提供了虚假资料，招标人有权对投标人的投标文件作无效投标文件处理，并没收其投标保证金；若在评标结果公示期间发现作为中标候选人的投标人提供了虚假资料，招标人有权取消其中标资格并没收其投标保证金；若在合同实施期间发现投标人提供了投标人提供了虚假资料，招标人有权从工程支付款或履约保证金中扣除不超过合同总价10%的金额作为违约金。同时招标人将投标人上述弄虚作假行为上报招投标监督部门，作为不良记录纳入信用信息管理系统。 </w:t>
      </w:r>
    </w:p>
    <w:p>
      <w:pPr>
        <w:pStyle w:val="258"/>
        <w:rPr>
          <w:rFonts w:ascii="宋体" w:hAnsi="宋体" w:cs="宋体"/>
          <w:color w:val="000000"/>
          <w:szCs w:val="21"/>
          <w:highlight w:val="white"/>
        </w:rPr>
      </w:pPr>
      <w:bookmarkStart w:id="174" w:name="_Toc28227"/>
      <w:bookmarkStart w:id="175" w:name="_Toc27814"/>
      <w:bookmarkStart w:id="176" w:name="_Toc25533"/>
      <w:bookmarkStart w:id="177" w:name="_Toc21145"/>
      <w:bookmarkStart w:id="178" w:name="_Toc234382615"/>
      <w:r>
        <w:rPr>
          <w:rFonts w:hint="eastAsia" w:ascii="宋体" w:hAnsi="宋体" w:cs="宋体"/>
          <w:color w:val="000000"/>
          <w:szCs w:val="21"/>
          <w:highlight w:val="white"/>
        </w:rPr>
        <w:t>3.6投标文件的编制</w:t>
      </w:r>
      <w:bookmarkEnd w:id="174"/>
      <w:bookmarkEnd w:id="175"/>
      <w:bookmarkEnd w:id="176"/>
      <w:bookmarkEnd w:id="177"/>
      <w:bookmarkEnd w:id="178"/>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3.6.1 投标文件应按投标文件的组成要求进行编制。要求提供材料原件的，投标人投标时要求提供原件而未提供原件或评标时评委发现未按本招标文件规定提供的原件缺项、不齐全的或无效的为无效投标文</w:t>
      </w:r>
      <w:r>
        <w:rPr>
          <w:rFonts w:hint="eastAsia" w:ascii="宋体" w:hAnsi="宋体"/>
          <w:szCs w:val="21"/>
          <w:highlight w:val="white"/>
        </w:rPr>
        <w:t>件。</w:t>
      </w:r>
    </w:p>
    <w:p>
      <w:pPr>
        <w:pStyle w:val="331"/>
        <w:rPr>
          <w:rFonts w:ascii="宋体" w:hAnsi="宋体" w:cs="宋体"/>
          <w:color w:val="000000"/>
        </w:rPr>
      </w:pPr>
      <w:bookmarkStart w:id="179" w:name="_Toc20865"/>
      <w:bookmarkStart w:id="180" w:name="_Toc29001"/>
      <w:bookmarkStart w:id="181" w:name="_Toc15559"/>
      <w:bookmarkStart w:id="182" w:name="_Toc234382616"/>
      <w:bookmarkStart w:id="183" w:name="_Toc32214"/>
      <w:r>
        <w:rPr>
          <w:rFonts w:hint="eastAsia" w:ascii="宋体" w:hAnsi="宋体" w:cs="宋体"/>
          <w:color w:val="000000"/>
          <w:highlight w:val="white"/>
        </w:rPr>
        <w:t>4. 投标</w:t>
      </w:r>
      <w:bookmarkEnd w:id="179"/>
      <w:bookmarkEnd w:id="180"/>
      <w:bookmarkEnd w:id="181"/>
      <w:bookmarkEnd w:id="182"/>
      <w:bookmarkEnd w:id="183"/>
    </w:p>
    <w:p>
      <w:pPr>
        <w:pStyle w:val="258"/>
        <w:rPr>
          <w:rFonts w:ascii="宋体" w:hAnsi="宋体" w:cs="宋体"/>
          <w:color w:val="000000"/>
        </w:rPr>
      </w:pPr>
      <w:bookmarkStart w:id="184" w:name="_Toc234382617"/>
      <w:bookmarkStart w:id="185" w:name="_Toc20549"/>
      <w:bookmarkStart w:id="186" w:name="_Toc30429"/>
      <w:bookmarkStart w:id="187" w:name="_Toc8402"/>
      <w:bookmarkStart w:id="188" w:name="_Toc21258"/>
      <w:r>
        <w:rPr>
          <w:rFonts w:hint="eastAsia" w:ascii="宋体" w:hAnsi="宋体" w:cs="宋体"/>
          <w:color w:val="000000"/>
          <w:highlight w:val="white"/>
        </w:rPr>
        <w:t>4.1 投标文件的密封和标记</w:t>
      </w:r>
      <w:bookmarkEnd w:id="184"/>
      <w:bookmarkEnd w:id="185"/>
      <w:bookmarkEnd w:id="186"/>
      <w:bookmarkEnd w:id="187"/>
      <w:bookmarkEnd w:id="188"/>
    </w:p>
    <w:p>
      <w:pPr>
        <w:spacing w:line="400" w:lineRule="exact"/>
        <w:ind w:firstLine="420" w:firstLineChars="200"/>
        <w:rPr>
          <w:rFonts w:ascii="宋体" w:hAnsi="宋体" w:eastAsia="宋体" w:cs="宋体"/>
          <w:color w:val="000000"/>
        </w:rPr>
      </w:pPr>
      <w:bookmarkStart w:id="189" w:name="_Toc275703416"/>
      <w:bookmarkStart w:id="190" w:name="_Toc5658"/>
      <w:bookmarkStart w:id="191" w:name="_Toc27852"/>
      <w:bookmarkStart w:id="192" w:name="_Toc234382618"/>
      <w:bookmarkStart w:id="193" w:name="_Toc2524"/>
      <w:bookmarkStart w:id="194" w:name="_Toc28165"/>
      <w:r>
        <w:rPr>
          <w:rFonts w:hint="eastAsia" w:ascii="宋体" w:hAnsi="宋体" w:eastAsia="宋体" w:cs="宋体"/>
          <w:color w:val="000000"/>
        </w:rPr>
        <w:t>4.1.1投标文件</w:t>
      </w:r>
      <w:r>
        <w:rPr>
          <w:rFonts w:hint="eastAsia" w:ascii="宋体" w:hAnsi="宋体" w:eastAsia="宋体" w:cs="宋体"/>
          <w:color w:val="0000FF"/>
        </w:rPr>
        <w:t>（一正二副）</w:t>
      </w:r>
      <w:r>
        <w:rPr>
          <w:rFonts w:hint="eastAsia" w:ascii="宋体" w:hAnsi="宋体" w:eastAsia="宋体" w:cs="宋体"/>
          <w:color w:val="000000"/>
        </w:rPr>
        <w:t>应密封包装，并在封套的封口处加盖投标人单位章。</w:t>
      </w:r>
      <w:bookmarkEnd w:id="189"/>
    </w:p>
    <w:p>
      <w:pPr>
        <w:pStyle w:val="258"/>
        <w:rPr>
          <w:rFonts w:ascii="宋体" w:hAnsi="宋体" w:cs="宋体"/>
          <w:color w:val="000000"/>
        </w:rPr>
      </w:pPr>
      <w:r>
        <w:rPr>
          <w:rFonts w:hint="eastAsia" w:ascii="宋体" w:hAnsi="宋体" w:cs="宋体"/>
          <w:color w:val="000000"/>
          <w:highlight w:val="white"/>
        </w:rPr>
        <w:t>4.2 投标文件的递交</w:t>
      </w:r>
      <w:bookmarkEnd w:id="190"/>
      <w:bookmarkEnd w:id="191"/>
      <w:bookmarkEnd w:id="192"/>
      <w:bookmarkEnd w:id="193"/>
      <w:bookmarkEnd w:id="194"/>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4.2.1 投标人应在本章第 2.2.2 项规定的投标截止时间前递交投标文件。</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4.2.2 除投标人须知前附表另有规定外，投标人所递交的投标文件（除原件外）不予退还。</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4.2.3 投标截止时间后，未送达指定地点的投标文件，招标人不予受理。</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4.2.4在特殊情况下，招标人如果决定延后递交投标截止时间，应在投标人须知前附表规定的时间前，通知所有投标人延后投标截止时间。在此情况下，招标人和投标人的权利和义务相应延后至新的投标截止时间。</w:t>
      </w:r>
    </w:p>
    <w:p>
      <w:pPr>
        <w:pStyle w:val="258"/>
        <w:rPr>
          <w:rFonts w:ascii="宋体" w:hAnsi="宋体" w:cs="宋体"/>
          <w:color w:val="000000"/>
        </w:rPr>
      </w:pPr>
      <w:bookmarkStart w:id="195" w:name="_Toc234382619"/>
      <w:bookmarkStart w:id="196" w:name="_Toc30820"/>
      <w:bookmarkStart w:id="197" w:name="_Toc30347"/>
      <w:bookmarkStart w:id="198" w:name="_Toc27989"/>
      <w:bookmarkStart w:id="199" w:name="_Toc31041"/>
      <w:r>
        <w:rPr>
          <w:rFonts w:hint="eastAsia" w:ascii="宋体" w:hAnsi="宋体" w:cs="宋体"/>
          <w:color w:val="000000"/>
          <w:highlight w:val="white"/>
        </w:rPr>
        <w:t>4.3 投标文件的修改与撤回</w:t>
      </w:r>
      <w:bookmarkEnd w:id="195"/>
      <w:bookmarkEnd w:id="196"/>
      <w:bookmarkEnd w:id="197"/>
      <w:bookmarkEnd w:id="198"/>
      <w:bookmarkEnd w:id="199"/>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4.3.1 在本章第 2.2.2 项规定的投标截止时间前，投标人可以撤回已递交的投标文件。</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4.3.2 投标人撤回已递交投标文件后如需投标，须重新送达。</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4.3.3修改后的投标文件应按招标文件规定进行编制、密封、标记和递交。</w:t>
      </w:r>
    </w:p>
    <w:p>
      <w:pPr>
        <w:pStyle w:val="331"/>
        <w:rPr>
          <w:rFonts w:ascii="宋体" w:hAnsi="宋体" w:cs="宋体"/>
          <w:color w:val="000000"/>
        </w:rPr>
      </w:pPr>
      <w:bookmarkStart w:id="200" w:name="_Toc234382620"/>
      <w:bookmarkStart w:id="201" w:name="_Toc28812"/>
      <w:bookmarkStart w:id="202" w:name="_Toc28473"/>
      <w:bookmarkStart w:id="203" w:name="_Toc32547"/>
      <w:bookmarkStart w:id="204" w:name="_Toc3293"/>
      <w:bookmarkStart w:id="205" w:name="EBe031f9b76cb74dce9fc506aab2319168"/>
      <w:r>
        <w:rPr>
          <w:rFonts w:hint="eastAsia" w:ascii="宋体" w:hAnsi="宋体" w:cs="宋体"/>
          <w:color w:val="000000"/>
          <w:highlight w:val="white"/>
        </w:rPr>
        <w:t>5. 开标</w:t>
      </w:r>
      <w:bookmarkEnd w:id="200"/>
      <w:bookmarkEnd w:id="201"/>
      <w:bookmarkEnd w:id="202"/>
      <w:bookmarkEnd w:id="203"/>
      <w:bookmarkEnd w:id="204"/>
    </w:p>
    <w:p>
      <w:pPr>
        <w:pStyle w:val="258"/>
        <w:rPr>
          <w:rFonts w:ascii="宋体" w:hAnsi="宋体" w:cs="宋体"/>
          <w:color w:val="000000"/>
        </w:rPr>
      </w:pPr>
      <w:bookmarkStart w:id="206" w:name="_Toc18854"/>
      <w:bookmarkStart w:id="207" w:name="_Toc23550"/>
      <w:bookmarkStart w:id="208" w:name="_Toc234382621"/>
      <w:bookmarkStart w:id="209" w:name="_Toc4431"/>
      <w:bookmarkStart w:id="210" w:name="_Toc8283"/>
      <w:r>
        <w:rPr>
          <w:rFonts w:hint="eastAsia" w:ascii="宋体" w:hAnsi="宋体" w:cs="宋体"/>
          <w:color w:val="000000"/>
          <w:highlight w:val="white"/>
        </w:rPr>
        <w:t>5.1 开标时间和地点</w:t>
      </w:r>
      <w:bookmarkEnd w:id="206"/>
      <w:bookmarkEnd w:id="207"/>
      <w:bookmarkEnd w:id="208"/>
      <w:bookmarkEnd w:id="209"/>
      <w:bookmarkEnd w:id="210"/>
    </w:p>
    <w:p>
      <w:pPr>
        <w:spacing w:line="400" w:lineRule="exact"/>
        <w:ind w:firstLine="420" w:firstLineChars="200"/>
        <w:rPr>
          <w:rFonts w:ascii="宋体" w:hAnsi="宋体" w:eastAsia="宋体" w:cs="宋体"/>
          <w:color w:val="000000"/>
          <w:szCs w:val="21"/>
        </w:rPr>
      </w:pPr>
      <w:bookmarkStart w:id="211" w:name="_Toc19197"/>
      <w:bookmarkStart w:id="212" w:name="_Toc30092"/>
      <w:bookmarkStart w:id="213" w:name="_Toc24526"/>
      <w:bookmarkStart w:id="214" w:name="_Toc23805"/>
      <w:bookmarkStart w:id="215" w:name="_Toc234382623"/>
      <w:r>
        <w:rPr>
          <w:rFonts w:hint="eastAsia" w:ascii="宋体" w:hAnsi="宋体" w:eastAsia="宋体" w:cs="宋体"/>
          <w:color w:val="000000"/>
          <w:szCs w:val="21"/>
          <w:highlight w:val="white"/>
        </w:rPr>
        <w:t>5.1.1招标人在本章第 2.2.2 项规定的投标截止时间（开标时间）和投标人须知前附表规定的地点公开开标。未在投标截止时间之前提交投标文件的，视为投标人放弃投标。</w:t>
      </w:r>
    </w:p>
    <w:p>
      <w:pPr>
        <w:pStyle w:val="258"/>
        <w:rPr>
          <w:rFonts w:ascii="宋体" w:hAnsi="宋体" w:cs="宋体"/>
          <w:color w:val="000000"/>
        </w:rPr>
      </w:pPr>
      <w:r>
        <w:rPr>
          <w:rFonts w:hint="eastAsia" w:ascii="宋体" w:hAnsi="宋体" w:cs="宋体"/>
          <w:color w:val="000000"/>
          <w:highlight w:val="white"/>
        </w:rPr>
        <w:t>5.2 开标程序</w:t>
      </w:r>
      <w:bookmarkEnd w:id="211"/>
      <w:bookmarkEnd w:id="212"/>
      <w:bookmarkEnd w:id="213"/>
      <w:bookmarkEnd w:id="214"/>
      <w:bookmarkEnd w:id="215"/>
    </w:p>
    <w:p>
      <w:pPr>
        <w:spacing w:line="400" w:lineRule="exact"/>
        <w:ind w:firstLine="420" w:firstLineChars="200"/>
        <w:rPr>
          <w:rFonts w:ascii="宋体" w:hAnsi="宋体" w:eastAsia="宋体" w:cs="宋体"/>
          <w:color w:val="000000"/>
          <w:szCs w:val="21"/>
          <w:highlight w:val="white"/>
        </w:rPr>
      </w:pPr>
      <w:bookmarkStart w:id="216" w:name="_Toc22680"/>
      <w:r>
        <w:rPr>
          <w:rFonts w:hint="eastAsia" w:ascii="宋体" w:hAnsi="宋体" w:eastAsia="宋体" w:cs="宋体"/>
          <w:color w:val="000000"/>
          <w:szCs w:val="21"/>
          <w:highlight w:val="white"/>
        </w:rPr>
        <w:t>5.2.1 主持人按下列程序进行开标：</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（1）宣布开标纪律；</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（2）公布在投标截止时间前递交投标文件的投标人名称，核验投标人法定代表人或其委托人身份；</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（3）招标人或招标代理人对投标文件进行拆封；</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（4）公布投标人名称、标段名称、投标报价、质量目标、工期、项目负责人及其他内容</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（5）投标人代表抽取评标基准价系数（如有）；</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（6）投标人授权委托人、招标人代表、监标人等有关人员在开标记录上签字确认；</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（7）开标结束。</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5.2.2投标人对开标有异议的，应当在开标现场提出，招标人应当当场作出答复，并制作记录。投标人对开标有异议而未在开标现场提出得，招标人将不予受理。</w:t>
      </w:r>
    </w:p>
    <w:p>
      <w:pPr>
        <w:pStyle w:val="258"/>
        <w:rPr>
          <w:rFonts w:ascii="宋体" w:hAnsi="宋体" w:cs="宋体"/>
          <w:color w:val="000000"/>
          <w:szCs w:val="21"/>
          <w:highlight w:val="white"/>
        </w:rPr>
      </w:pPr>
      <w:r>
        <w:rPr>
          <w:rFonts w:hint="eastAsia"/>
          <w:color w:val="000000"/>
          <w:highlight w:val="white"/>
        </w:rPr>
        <w:t>5.3</w:t>
      </w:r>
      <w:r>
        <w:rPr>
          <w:rFonts w:hint="eastAsia" w:ascii="宋体" w:hAnsi="宋体" w:cs="宋体"/>
          <w:color w:val="000000"/>
          <w:szCs w:val="21"/>
          <w:highlight w:val="white"/>
        </w:rPr>
        <w:t xml:space="preserve"> 开标过程中出现下列情形之一的，视为投标人放弃投标</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5.3.1投标人的法定代表人或其委托人与出席开标会的法定代表人或其委托人不一致的；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5.3.2投标人法定代表人或其委托人擅自离开开标现场，造成无法核验法定代表人或其委托人身份的；</w:t>
      </w:r>
    </w:p>
    <w:p>
      <w:pPr>
        <w:pStyle w:val="51"/>
        <w:rPr>
          <w:rFonts w:ascii="宋体" w:hAnsi="宋体" w:eastAsia="宋体" w:cs="宋体"/>
          <w:szCs w:val="21"/>
          <w:highlight w:val="white"/>
        </w:rPr>
      </w:pPr>
    </w:p>
    <w:p>
      <w:pPr>
        <w:pStyle w:val="331"/>
        <w:rPr>
          <w:rFonts w:ascii="宋体" w:hAnsi="宋体" w:cs="宋体"/>
          <w:color w:val="000000"/>
          <w:highlight w:val="yellow"/>
        </w:rPr>
      </w:pPr>
      <w:r>
        <w:rPr>
          <w:rFonts w:hint="eastAsia" w:ascii="宋体" w:hAnsi="宋体" w:cs="宋体"/>
          <w:color w:val="000000"/>
          <w:highlight w:val="white"/>
        </w:rPr>
        <w:t>6.定标</w:t>
      </w:r>
      <w:bookmarkEnd w:id="216"/>
    </w:p>
    <w:p>
      <w:pPr>
        <w:pStyle w:val="258"/>
        <w:rPr>
          <w:rFonts w:ascii="宋体" w:hAnsi="宋体" w:cs="宋体"/>
          <w:color w:val="000000"/>
        </w:rPr>
      </w:pPr>
      <w:bookmarkStart w:id="217" w:name="_Toc16425"/>
      <w:bookmarkStart w:id="218" w:name="_Toc3926"/>
      <w:bookmarkStart w:id="219" w:name="_Toc10791"/>
      <w:r>
        <w:rPr>
          <w:rFonts w:hint="eastAsia" w:ascii="宋体" w:hAnsi="宋体" w:cs="宋体"/>
          <w:color w:val="000000"/>
          <w:highlight w:val="white"/>
        </w:rPr>
        <w:t>6.1中标结果公示</w:t>
      </w:r>
      <w:bookmarkEnd w:id="217"/>
      <w:bookmarkEnd w:id="218"/>
      <w:bookmarkEnd w:id="219"/>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6.1.1招标人在收到评标报告之日起3日内应当在招标公告发布媒介上公示中标候选人情况、评标结果及拟定中标人名称，公示期不少于3日。</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6.1.2投标人或者其他利害关系人对依法必须进行招标的项目的评标结果有异议的，应当在中标候选人公示期间提出。招标人应当自收到异议之日起3 日内作出答复；作出答复前，应当暂停招标投标活动。</w:t>
      </w:r>
    </w:p>
    <w:p>
      <w:pPr>
        <w:pStyle w:val="51"/>
        <w:rPr>
          <w:rFonts w:ascii="宋体" w:hAnsi="宋体" w:eastAsia="宋体" w:cs="宋体"/>
          <w:color w:val="000000"/>
          <w:szCs w:val="21"/>
          <w:highlight w:val="white"/>
        </w:rPr>
      </w:pPr>
    </w:p>
    <w:p>
      <w:pPr>
        <w:pStyle w:val="258"/>
        <w:rPr>
          <w:rFonts w:ascii="宋体" w:hAnsi="宋体" w:cs="宋体"/>
          <w:color w:val="000000"/>
        </w:rPr>
      </w:pPr>
      <w:bookmarkStart w:id="220" w:name="_Toc234382631"/>
      <w:bookmarkStart w:id="221" w:name="_Toc13872"/>
      <w:bookmarkStart w:id="222" w:name="_Toc9746"/>
      <w:bookmarkStart w:id="223" w:name="_Toc24716"/>
      <w:bookmarkStart w:id="224" w:name="_Toc10449"/>
      <w:r>
        <w:rPr>
          <w:rFonts w:hint="eastAsia" w:ascii="宋体" w:hAnsi="宋体" w:cs="宋体"/>
          <w:color w:val="000000"/>
          <w:highlight w:val="white"/>
        </w:rPr>
        <w:t>6.2 中标通知</w:t>
      </w:r>
      <w:bookmarkEnd w:id="220"/>
      <w:bookmarkEnd w:id="221"/>
      <w:bookmarkEnd w:id="222"/>
      <w:bookmarkEnd w:id="223"/>
      <w:bookmarkEnd w:id="224"/>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6.2.1投标人或者其他利害关系人在中标候选人、评标结果及拟定中标人公示期间无异议，招标人一般应当在5日内确定中标人，但最迟应当在投标有效期满前确定。</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6.2.2中标人确定后，招标人应当将中标人名称、中标价和项目负责人信息在招标公告发布媒介上予以公告，并发出中标通知书。</w:t>
      </w:r>
    </w:p>
    <w:p>
      <w:pPr>
        <w:pStyle w:val="331"/>
        <w:rPr>
          <w:rFonts w:ascii="宋体" w:hAnsi="宋体" w:cs="宋体"/>
          <w:color w:val="000000"/>
          <w:highlight w:val="yellow"/>
        </w:rPr>
      </w:pPr>
      <w:r>
        <w:rPr>
          <w:rFonts w:hint="eastAsia" w:ascii="宋体" w:hAnsi="宋体" w:cs="宋体"/>
          <w:color w:val="000000"/>
          <w:highlight w:val="white"/>
        </w:rPr>
        <w:t>7.合同</w:t>
      </w:r>
    </w:p>
    <w:p>
      <w:pPr>
        <w:pStyle w:val="258"/>
        <w:rPr>
          <w:rFonts w:ascii="宋体" w:hAnsi="宋体" w:cs="宋体"/>
          <w:color w:val="000000"/>
        </w:rPr>
      </w:pPr>
      <w:r>
        <w:rPr>
          <w:rFonts w:hint="eastAsia" w:ascii="宋体" w:hAnsi="宋体" w:cs="宋体"/>
          <w:color w:val="000000"/>
          <w:highlight w:val="white"/>
        </w:rPr>
        <w:t>7.1 签订合同</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7.1.1 招标人和中标人应当在规定的时间内，根据招标文件和中标人的投标文件订立书面合同。</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7.1.2中标人无正当理由拒签合同的，招标人取消其中标资格，其投标保证金不予退还；给招标人造成的损失超过投标保证金数额的，中标人还应当对超过部分予以赔偿。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7.1.3发出中标通知书后，招标人无正当理由拒签合同的，招标人向中标人退还投标保证金；给中标人造成损失的，还应当赔偿损失。</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7.1.</w:t>
      </w:r>
      <w:r>
        <w:rPr>
          <w:rFonts w:hint="eastAsia" w:ascii="宋体" w:hAnsi="宋体" w:eastAsia="宋体" w:cs="宋体"/>
          <w:color w:val="000000"/>
          <w:szCs w:val="21"/>
        </w:rPr>
        <w:t>4</w:t>
      </w:r>
      <w:r>
        <w:rPr>
          <w:rFonts w:hint="eastAsia" w:ascii="宋体" w:hAnsi="宋体" w:eastAsia="宋体" w:cs="宋体"/>
          <w:color w:val="000000"/>
          <w:szCs w:val="21"/>
          <w:highlight w:val="white"/>
        </w:rPr>
        <w:t>如果根据招标文件相关规定，招标人取消了中标人的中标资格，在此情况下，招标人可将合同授予下一个中标候选人，或者按规定重新组织招标。</w:t>
      </w:r>
    </w:p>
    <w:p>
      <w:pPr>
        <w:rPr>
          <w:rFonts w:ascii="宋体" w:hAnsi="宋体" w:eastAsia="宋体" w:cs="宋体"/>
          <w:color w:val="000000"/>
          <w:highlight w:val="cyan"/>
        </w:rPr>
      </w:pPr>
      <w:r>
        <w:rPr>
          <w:rFonts w:hint="eastAsia" w:ascii="宋体" w:hAnsi="宋体" w:eastAsia="宋体" w:cs="宋体"/>
          <w:color w:val="000000"/>
          <w:sz w:val="20"/>
          <w:highlight w:val="white"/>
        </w:rPr>
        <w:t xml:space="preserve"> </w:t>
      </w:r>
      <w:bookmarkEnd w:id="205"/>
    </w:p>
    <w:p>
      <w:pPr>
        <w:rPr>
          <w:rFonts w:ascii="宋体" w:hAnsi="宋体" w:eastAsia="宋体" w:cs="宋体"/>
          <w:color w:val="000000"/>
          <w:highlight w:val="yellow"/>
        </w:rPr>
      </w:pPr>
      <w:bookmarkStart w:id="225" w:name="EB7d2e503a56244111b3601dbd1e441d60"/>
      <w:r>
        <w:rPr>
          <w:rFonts w:hint="eastAsia" w:ascii="宋体" w:hAnsi="宋体" w:eastAsia="宋体" w:cs="宋体"/>
          <w:color w:val="000000"/>
          <w:sz w:val="20"/>
          <w:highlight w:val="white"/>
        </w:rPr>
        <w:t xml:space="preserve"> </w:t>
      </w:r>
      <w:bookmarkEnd w:id="225"/>
      <w:bookmarkStart w:id="226" w:name="EBf78e21ddc82e4e8eb7ef640b3b63171e"/>
      <w:r>
        <w:rPr>
          <w:rFonts w:hint="eastAsia" w:ascii="宋体" w:hAnsi="宋体" w:eastAsia="宋体" w:cs="宋体"/>
          <w:color w:val="000000"/>
          <w:sz w:val="20"/>
          <w:highlight w:val="white"/>
        </w:rPr>
        <w:t xml:space="preserve"> </w:t>
      </w:r>
      <w:bookmarkEnd w:id="226"/>
    </w:p>
    <w:p>
      <w:pPr>
        <w:pStyle w:val="331"/>
        <w:rPr>
          <w:rFonts w:ascii="宋体" w:hAnsi="宋体" w:cs="宋体"/>
          <w:color w:val="000000"/>
        </w:rPr>
      </w:pPr>
      <w:bookmarkStart w:id="227" w:name="_Toc234382634"/>
      <w:bookmarkStart w:id="228" w:name="_Toc3460"/>
      <w:bookmarkStart w:id="229" w:name="_Toc13510"/>
      <w:bookmarkStart w:id="230" w:name="_Toc21615"/>
      <w:bookmarkStart w:id="231" w:name="_Toc9411"/>
      <w:r>
        <w:rPr>
          <w:rFonts w:hint="eastAsia" w:ascii="宋体" w:hAnsi="宋体" w:cs="宋体"/>
          <w:color w:val="000000"/>
          <w:highlight w:val="white"/>
        </w:rPr>
        <w:t>8. 重新招标和不再招标</w:t>
      </w:r>
      <w:bookmarkEnd w:id="227"/>
      <w:bookmarkEnd w:id="228"/>
      <w:bookmarkEnd w:id="229"/>
      <w:bookmarkEnd w:id="230"/>
      <w:bookmarkEnd w:id="231"/>
    </w:p>
    <w:p>
      <w:pPr>
        <w:pStyle w:val="258"/>
        <w:rPr>
          <w:rFonts w:ascii="宋体" w:hAnsi="宋体" w:cs="宋体"/>
          <w:color w:val="000000"/>
        </w:rPr>
      </w:pPr>
      <w:bookmarkStart w:id="232" w:name="_Toc15825"/>
      <w:bookmarkStart w:id="233" w:name="_Toc234382635"/>
      <w:bookmarkStart w:id="234" w:name="_Toc6107"/>
      <w:bookmarkStart w:id="235" w:name="_Toc21691"/>
      <w:bookmarkStart w:id="236" w:name="_Toc19683"/>
      <w:r>
        <w:rPr>
          <w:rFonts w:hint="eastAsia" w:ascii="宋体" w:hAnsi="宋体" w:cs="宋体"/>
          <w:color w:val="000000"/>
          <w:highlight w:val="white"/>
        </w:rPr>
        <w:t>8.1 重新招标</w:t>
      </w:r>
      <w:bookmarkEnd w:id="232"/>
      <w:bookmarkEnd w:id="233"/>
      <w:bookmarkEnd w:id="234"/>
      <w:bookmarkEnd w:id="235"/>
      <w:bookmarkEnd w:id="236"/>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有下列情形之一的，招标人将重新招标：</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（1）投标截止时间止，投标人少于3个的；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（2）经招投标小组评审后否决所有投标的；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（3）中标候选人均未与招标人签订合同的；</w:t>
      </w:r>
    </w:p>
    <w:p>
      <w:pPr>
        <w:spacing w:line="400" w:lineRule="exact"/>
        <w:ind w:firstLine="420" w:firstLineChars="200"/>
        <w:rPr>
          <w:rFonts w:ascii="宋体" w:hAnsi="宋体" w:eastAsia="宋体" w:cs="宋体"/>
          <w:color w:val="000000"/>
          <w:szCs w:val="21"/>
        </w:rPr>
      </w:pPr>
      <w:r>
        <w:rPr>
          <w:rFonts w:hint="eastAsia" w:ascii="宋体" w:hAnsi="宋体" w:eastAsia="宋体" w:cs="宋体"/>
          <w:color w:val="000000"/>
          <w:szCs w:val="21"/>
          <w:highlight w:val="white"/>
        </w:rPr>
        <w:t>（4）法律、法规规定的其他情形。</w:t>
      </w:r>
    </w:p>
    <w:p>
      <w:pPr>
        <w:pStyle w:val="258"/>
        <w:rPr>
          <w:rFonts w:ascii="宋体" w:hAnsi="宋体" w:cs="宋体"/>
          <w:color w:val="000000"/>
        </w:rPr>
      </w:pPr>
      <w:bookmarkStart w:id="237" w:name="_Toc26128"/>
      <w:bookmarkStart w:id="238" w:name="_Toc21117"/>
      <w:bookmarkStart w:id="239" w:name="_Toc234382636"/>
      <w:bookmarkStart w:id="240" w:name="_Toc6866"/>
      <w:bookmarkStart w:id="241" w:name="_Toc23404"/>
      <w:r>
        <w:rPr>
          <w:rFonts w:hint="eastAsia" w:ascii="宋体" w:hAnsi="宋体" w:cs="宋体"/>
          <w:color w:val="000000"/>
          <w:highlight w:val="white"/>
        </w:rPr>
        <w:t>8.2 不再招标</w:t>
      </w:r>
      <w:bookmarkEnd w:id="237"/>
      <w:bookmarkEnd w:id="238"/>
      <w:bookmarkEnd w:id="239"/>
      <w:bookmarkEnd w:id="240"/>
      <w:bookmarkEnd w:id="241"/>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重新招标后投标人仍少于3 个或者所有投标被否决的，属于必须审批或核准的工程建设项目，经原审批或核准部门批准后不再进行招标。</w:t>
      </w:r>
    </w:p>
    <w:p>
      <w:pPr>
        <w:pStyle w:val="51"/>
        <w:ind w:left="0" w:leftChars="0" w:firstLine="0" w:firstLineChars="0"/>
        <w:rPr>
          <w:rFonts w:ascii="宋体" w:hAnsi="宋体" w:eastAsia="宋体" w:cs="宋体"/>
          <w:color w:val="000000"/>
          <w:szCs w:val="21"/>
          <w:highlight w:val="white"/>
        </w:rPr>
      </w:pPr>
    </w:p>
    <w:p>
      <w:pPr>
        <w:spacing w:line="400" w:lineRule="exact"/>
        <w:ind w:firstLine="422" w:firstLineChars="200"/>
        <w:rPr>
          <w:rFonts w:ascii="宋体" w:hAnsi="宋体" w:eastAsia="宋体" w:cs="宋体"/>
          <w:b/>
          <w:bCs/>
          <w:color w:val="000000"/>
          <w:szCs w:val="21"/>
          <w:highlight w:val="white"/>
        </w:rPr>
      </w:pPr>
      <w:r>
        <w:rPr>
          <w:rFonts w:hint="eastAsia" w:ascii="宋体" w:hAnsi="宋体" w:eastAsia="宋体" w:cs="宋体"/>
          <w:b/>
          <w:bCs/>
          <w:color w:val="000000"/>
          <w:szCs w:val="21"/>
          <w:highlight w:val="white"/>
        </w:rPr>
        <w:t>9. 异议和投诉</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9.1 异议</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9.1.1 投标人或者其他利害关系人认为招标投标活动不符合法律、法规和规章规定的,可以依法向招标人提出异议，也可以在知道或者应当知道之日起 10 日内，向有关行政监督部门投诉，但就《中华人民共和国招标投标法实施条例》第二十二条、第四十四条、第五十四条规定事项进行投诉的，应当依法先向招标人提出异议。</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9.1.2 异议提出的期限规定如下：</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（1）对资格预审文件有异议的，潜在投标人或者其他利害关系人应当在提交资格预审申请文件截止时间 2 日前提出；</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（2）对招标文件有异议的，潜在投标人或者其他利害关系人应当在投标截止时间 3 日前提出， 其中对采用合理价随机确定中标人法发包的， 在提交投标文件截止时间 1 日前提出；</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（3）对资格预审不合格结果有异议的，应在资格预审未入围结果公示期内提出；</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（4）对开标有异议的，应当在开标现场提出；开标结束后投标人不得对开标事项再提出异议；</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（5）对评标结果有异议的，投标人或者其他利害关系人应当在中标候选人的公示期间提出。</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9.1.3 异议人对除涉及开标事项提出异议的， 应当向招标人提交异议书 （格式和内容见《江苏省房屋建筑和市政基础设施工程招标投标活动异议与投诉处理实施办法》 （苏建规字[2016]4 号））。</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9.1.4 招标人将在法定时限内完成异议处理。对资格预审文件、招标文件、评标结果的异议，招标人应当自异议受理之日起 3 日内作出书面答复，答复内容不得涉及商业秘密。招标人处理异议需要进行检验、检测、鉴定、调查取证、组织专家评审或到外地调查的，所需时间不计入前款规定时限。</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9.2 投诉</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9.2.1 对资格预审公告、招标公告、资格预审文件、招标文件、招标控制价、资格预审结果、评标结果提出投诉的，以其发布或者公示之日作为投诉人知道或者应当知道之日。</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9.2.2 投诉人应当向项目所在地行政监督部门投诉。 投诉应当提交投诉书 （格式和内容见《江苏省房屋建筑和市政基础设施工程招标投标活动异议与投诉处理实施办法》 （苏建规字[2016]4 号））。对依法应当在投诉前提出异议的事项，投诉时应当同时附上异议书和招标人异议答复函。</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9.2.3 有下列情形之一的投诉，不予受理：</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（1）投诉人不是所投诉招标投标活动的参与者，或者与投诉项目无任何利害关系，或者无法证明其为招投标活动的参与者或者其它利害关系的；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（2）投诉事项不具体，且未提供有效线索，难以查证的；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（3）投诉书未署具投诉人真实姓名、签字和有效联系方式的；以法人名义投诉的，投诉书未经法定代表人或者授权委托人签字并加盖公章的；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（4）超过投诉时效的；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（5）已经作出处理决定，并且投诉人没有提出新的证据；</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（6）准予撤回投诉后又以同一事实和理由提出投诉的；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（7）应先提出异议的投诉事项没有提出异议的，或者招标人已暂停招投标活动并正在对异议人提出的异议进行调查处理的；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（8）投诉事项已进入行政复议或者行政诉讼程序的；</w:t>
      </w:r>
    </w:p>
    <w:p>
      <w:pPr>
        <w:spacing w:line="400" w:lineRule="exact"/>
        <w:ind w:firstLine="420" w:firstLineChars="200"/>
        <w:rPr>
          <w:rFonts w:ascii="宋体" w:hAnsi="宋体" w:eastAsia="宋体" w:cs="宋体"/>
          <w:color w:val="000000"/>
          <w:szCs w:val="21"/>
          <w:highlight w:val="white"/>
        </w:rPr>
      </w:pPr>
      <w:r>
        <w:rPr>
          <w:rFonts w:hint="eastAsia" w:ascii="宋体" w:hAnsi="宋体" w:eastAsia="宋体" w:cs="宋体"/>
          <w:color w:val="000000"/>
          <w:szCs w:val="21"/>
          <w:highlight w:val="white"/>
        </w:rPr>
        <w:t>（9）投诉人就同一事实和理由再提出投诉的。</w:t>
      </w:r>
    </w:p>
    <w:p>
      <w:pPr>
        <w:pStyle w:val="51"/>
        <w:rPr>
          <w:rFonts w:ascii="宋体" w:hAnsi="宋体" w:eastAsia="宋体" w:cs="宋体"/>
          <w:color w:val="000000"/>
          <w:szCs w:val="21"/>
          <w:highlight w:val="white"/>
        </w:rPr>
      </w:pPr>
    </w:p>
    <w:p>
      <w:pPr>
        <w:rPr>
          <w:highlight w:val="white"/>
        </w:rPr>
      </w:pPr>
      <w:bookmarkStart w:id="242" w:name="_Toc71705731"/>
      <w:r>
        <w:rPr>
          <w:rFonts w:hint="eastAsia"/>
          <w:highlight w:val="white"/>
        </w:rPr>
        <w:br w:type="page"/>
      </w:r>
    </w:p>
    <w:p>
      <w:pPr>
        <w:pStyle w:val="4"/>
        <w:spacing w:line="460" w:lineRule="exact"/>
        <w:jc w:val="center"/>
        <w:rPr>
          <w:b w:val="0"/>
          <w:highlight w:val="white"/>
        </w:rPr>
      </w:pPr>
      <w:r>
        <w:rPr>
          <w:rFonts w:hint="eastAsia"/>
          <w:highlight w:val="white"/>
        </w:rPr>
        <w:t>第三章 评标办法</w:t>
      </w:r>
      <w:bookmarkEnd w:id="242"/>
      <w:r>
        <w:rPr>
          <w:rFonts w:hint="eastAsia"/>
          <w:highlight w:val="white"/>
        </w:rPr>
        <w:t>（合理低价法）</w:t>
      </w:r>
    </w:p>
    <w:p>
      <w:pPr>
        <w:pStyle w:val="5"/>
        <w:spacing w:before="0" w:after="0"/>
        <w:rPr>
          <w:highlight w:val="white"/>
        </w:rPr>
      </w:pPr>
      <w:bookmarkStart w:id="243" w:name="_Toc510171763"/>
      <w:r>
        <w:rPr>
          <w:highlight w:val="white"/>
        </w:rPr>
        <w:t>评标办法前附表</w:t>
      </w:r>
      <w:bookmarkEnd w:id="243"/>
    </w:p>
    <w:bookmarkEnd w:id="30"/>
    <w:bookmarkEnd w:id="31"/>
    <w:bookmarkEnd w:id="32"/>
    <w:bookmarkEnd w:id="33"/>
    <w:tbl>
      <w:tblPr>
        <w:tblStyle w:val="349"/>
        <w:tblW w:w="8704" w:type="dxa"/>
        <w:tblInd w:w="43" w:type="dxa"/>
        <w:tblLayout w:type="autofit"/>
        <w:tblCellMar>
          <w:top w:w="87" w:type="dxa"/>
          <w:left w:w="106" w:type="dxa"/>
          <w:bottom w:w="0" w:type="dxa"/>
          <w:right w:w="0" w:type="dxa"/>
        </w:tblCellMar>
      </w:tblPr>
      <w:tblGrid>
        <w:gridCol w:w="864"/>
        <w:gridCol w:w="1020"/>
        <w:gridCol w:w="1945"/>
        <w:gridCol w:w="4875"/>
      </w:tblGrid>
      <w:tr>
        <w:tblPrEx>
          <w:tblCellMar>
            <w:top w:w="87" w:type="dxa"/>
            <w:left w:w="106" w:type="dxa"/>
            <w:bottom w:w="0" w:type="dxa"/>
            <w:right w:w="0" w:type="dxa"/>
          </w:tblCellMar>
        </w:tblPrEx>
        <w:trPr>
          <w:trHeight w:val="370" w:hRule="atLeast"/>
        </w:trPr>
        <w:tc>
          <w:tcPr>
            <w:tcW w:w="1884" w:type="dxa"/>
            <w:gridSpan w:val="2"/>
            <w:tcBorders>
              <w:top w:val="single" w:color="000000" w:sz="4" w:space="0"/>
              <w:left w:val="single" w:color="000000" w:sz="4" w:space="0"/>
              <w:bottom w:val="single" w:color="000000" w:sz="4" w:space="0"/>
              <w:right w:val="nil"/>
            </w:tcBorders>
          </w:tcPr>
          <w:p>
            <w:pPr>
              <w:widowControl/>
              <w:spacing w:after="160" w:line="259" w:lineRule="auto"/>
              <w:jc w:val="left"/>
              <w:rPr>
                <w:rFonts w:ascii="宋体" w:hAnsi="宋体" w:eastAsia="宋体" w:cs="宋体"/>
                <w:color w:val="000000"/>
              </w:rPr>
            </w:pPr>
            <w:bookmarkStart w:id="244" w:name="EB1c1bbb094230470b9308ea6f42ff24ff"/>
          </w:p>
        </w:tc>
        <w:tc>
          <w:tcPr>
            <w:tcW w:w="6820" w:type="dxa"/>
            <w:gridSpan w:val="2"/>
            <w:tcBorders>
              <w:top w:val="single" w:color="000000" w:sz="4" w:space="0"/>
              <w:left w:val="nil"/>
              <w:bottom w:val="single" w:color="000000" w:sz="4" w:space="0"/>
              <w:right w:val="single" w:color="000000" w:sz="4" w:space="0"/>
            </w:tcBorders>
          </w:tcPr>
          <w:p>
            <w:pPr>
              <w:widowControl/>
              <w:spacing w:line="259" w:lineRule="auto"/>
              <w:ind w:left="1880"/>
              <w:jc w:val="left"/>
              <w:rPr>
                <w:rFonts w:ascii="宋体" w:hAnsi="宋体" w:eastAsia="宋体" w:cs="宋体"/>
                <w:color w:val="000000"/>
              </w:rPr>
            </w:pPr>
            <w:r>
              <w:rPr>
                <w:rFonts w:ascii="宋体" w:hAnsi="宋体" w:eastAsia="宋体" w:cs="宋体"/>
                <w:color w:val="000000"/>
                <w:sz w:val="24"/>
              </w:rPr>
              <w:t>评标入围</w:t>
            </w:r>
            <w:r>
              <w:rPr>
                <w:rFonts w:ascii="Times New Roman" w:hAnsi="Times New Roman" w:eastAsia="Times New Roman" w:cs="Times New Roman"/>
                <w:b/>
                <w:color w:val="000000"/>
              </w:rPr>
              <w:t xml:space="preserve"> </w:t>
            </w:r>
          </w:p>
        </w:tc>
      </w:tr>
      <w:tr>
        <w:tblPrEx>
          <w:tblCellMar>
            <w:top w:w="87" w:type="dxa"/>
            <w:left w:w="106" w:type="dxa"/>
            <w:bottom w:w="0" w:type="dxa"/>
            <w:right w:w="0" w:type="dxa"/>
          </w:tblCellMar>
        </w:tblPrEx>
        <w:trPr>
          <w:trHeight w:val="370" w:hRule="atLeast"/>
        </w:trPr>
        <w:tc>
          <w:tcPr>
            <w:tcW w:w="1884" w:type="dxa"/>
            <w:gridSpan w:val="2"/>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条款号</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10"/>
              <w:jc w:val="center"/>
              <w:rPr>
                <w:rFonts w:ascii="宋体" w:hAnsi="宋体" w:eastAsia="宋体" w:cs="宋体"/>
                <w:color w:val="000000"/>
              </w:rPr>
            </w:pPr>
            <w:r>
              <w:rPr>
                <w:rFonts w:ascii="宋体" w:hAnsi="宋体" w:eastAsia="宋体" w:cs="宋体"/>
                <w:color w:val="000000"/>
              </w:rPr>
              <w:t>评审因素</w:t>
            </w:r>
            <w:r>
              <w:rPr>
                <w:rFonts w:ascii="Times New Roman" w:hAnsi="Times New Roman" w:eastAsia="Times New Roman" w:cs="Times New Roman"/>
                <w:b/>
                <w:color w:val="000000"/>
              </w:rPr>
              <w:t xml:space="preserve">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评审标准</w:t>
            </w:r>
            <w:r>
              <w:rPr>
                <w:rFonts w:ascii="Times New Roman" w:hAnsi="Times New Roman" w:eastAsia="Times New Roman" w:cs="Times New Roman"/>
                <w:b/>
                <w:color w:val="000000"/>
              </w:rPr>
              <w:t xml:space="preserve"> </w:t>
            </w:r>
          </w:p>
        </w:tc>
      </w:tr>
      <w:tr>
        <w:tblPrEx>
          <w:tblCellMar>
            <w:top w:w="87" w:type="dxa"/>
            <w:left w:w="106" w:type="dxa"/>
            <w:bottom w:w="0" w:type="dxa"/>
            <w:right w:w="0" w:type="dxa"/>
          </w:tblCellMar>
        </w:tblPrEx>
        <w:trPr>
          <w:trHeight w:val="2890" w:hRule="atLeast"/>
        </w:trPr>
        <w:tc>
          <w:tcPr>
            <w:tcW w:w="18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right="103"/>
              <w:jc w:val="center"/>
              <w:rPr>
                <w:rFonts w:ascii="宋体" w:hAnsi="宋体" w:eastAsia="宋体" w:cs="宋体"/>
                <w:color w:val="000000"/>
              </w:rPr>
            </w:pPr>
            <w:r>
              <w:rPr>
                <w:rFonts w:ascii="宋体" w:hAnsi="宋体" w:eastAsia="宋体" w:cs="宋体"/>
                <w:color w:val="000000"/>
              </w:rPr>
              <w:t xml:space="preserve">2.1.1 </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233"/>
              <w:jc w:val="left"/>
              <w:rPr>
                <w:rFonts w:ascii="宋体" w:hAnsi="宋体" w:eastAsia="宋体" w:cs="宋体"/>
                <w:color w:val="000000"/>
              </w:rPr>
            </w:pPr>
            <w:r>
              <w:rPr>
                <w:rFonts w:ascii="宋体" w:hAnsi="宋体" w:eastAsia="宋体" w:cs="宋体"/>
                <w:color w:val="000000"/>
              </w:rPr>
              <w:t>评标入围条件</w:t>
            </w:r>
            <w:r>
              <w:rPr>
                <w:rFonts w:ascii="Times New Roman" w:hAnsi="Times New Roman" w:eastAsia="Times New Roman" w:cs="Times New Roman"/>
                <w:color w:val="000000"/>
              </w:rPr>
              <w:t xml:space="preserve"> </w:t>
            </w:r>
          </w:p>
        </w:tc>
        <w:tc>
          <w:tcPr>
            <w:tcW w:w="4875" w:type="dxa"/>
            <w:tcBorders>
              <w:top w:val="single" w:color="000000" w:sz="4" w:space="0"/>
              <w:left w:val="single" w:color="000000" w:sz="4" w:space="0"/>
              <w:bottom w:val="single" w:color="000000" w:sz="4" w:space="0"/>
              <w:right w:val="single" w:color="000000" w:sz="4" w:space="0"/>
            </w:tcBorders>
          </w:tcPr>
          <w:p>
            <w:pPr>
              <w:widowControl/>
              <w:spacing w:after="86" w:line="259" w:lineRule="auto"/>
              <w:rPr>
                <w:rFonts w:ascii="宋体" w:hAnsi="宋体" w:eastAsia="宋体" w:cs="宋体"/>
                <w:color w:val="000000"/>
              </w:rPr>
            </w:pPr>
            <w:r>
              <w:rPr>
                <w:rFonts w:ascii="宋体" w:hAnsi="宋体" w:eastAsia="宋体" w:cs="宋体"/>
                <w:color w:val="000000"/>
              </w:rPr>
              <w:t>投标文件存在所列情况之一的，不再进行后续评标</w:t>
            </w:r>
            <w:r>
              <w:rPr>
                <w:rFonts w:ascii="Times New Roman" w:hAnsi="Times New Roman" w:eastAsia="Times New Roman" w:cs="Times New Roman"/>
                <w:color w:val="000000"/>
              </w:rPr>
              <w:t xml:space="preserve"> </w:t>
            </w:r>
          </w:p>
          <w:p>
            <w:pPr>
              <w:widowControl/>
              <w:spacing w:after="85" w:line="259" w:lineRule="auto"/>
              <w:jc w:val="left"/>
              <w:rPr>
                <w:rFonts w:ascii="宋体" w:hAnsi="宋体" w:eastAsia="宋体" w:cs="宋体"/>
                <w:color w:val="000000"/>
              </w:rPr>
            </w:pPr>
            <w:r>
              <w:rPr>
                <w:rFonts w:ascii="Wingdings 2" w:hAnsi="Wingdings 2" w:eastAsia="Wingdings 2" w:cs="Wingdings 2"/>
                <w:color w:val="000000"/>
              </w:rPr>
              <w:t></w:t>
            </w:r>
            <w:r>
              <w:rPr>
                <w:rFonts w:ascii="宋体" w:hAnsi="宋体" w:eastAsia="宋体" w:cs="宋体"/>
                <w:color w:val="000000"/>
              </w:rPr>
              <w:t>至投标截止时间止，未足额递交投标保证金；</w:t>
            </w:r>
            <w:r>
              <w:rPr>
                <w:rFonts w:ascii="Times New Roman" w:hAnsi="Times New Roman" w:eastAsia="Times New Roman" w:cs="Times New Roman"/>
                <w:color w:val="000000"/>
              </w:rPr>
              <w:t xml:space="preserve"> </w:t>
            </w:r>
          </w:p>
          <w:p>
            <w:pPr>
              <w:widowControl/>
              <w:spacing w:line="333" w:lineRule="auto"/>
              <w:jc w:val="left"/>
              <w:rPr>
                <w:rFonts w:ascii="宋体" w:hAnsi="宋体" w:eastAsia="宋体" w:cs="宋体"/>
                <w:color w:val="000000"/>
              </w:rPr>
            </w:pPr>
            <w:r>
              <w:rPr>
                <w:rFonts w:ascii="Wingdings 2" w:hAnsi="Wingdings 2" w:eastAsia="Wingdings 2" w:cs="Wingdings 2"/>
                <w:color w:val="000000"/>
              </w:rPr>
              <w:t></w:t>
            </w:r>
            <w:r>
              <w:rPr>
                <w:rFonts w:ascii="宋体" w:hAnsi="宋体" w:eastAsia="宋体" w:cs="宋体"/>
                <w:color w:val="000000"/>
              </w:rPr>
              <w:t>投标函及投标函附录中载明的招标项目完成期限超过招标文件规定的期限；</w:t>
            </w:r>
            <w:r>
              <w:rPr>
                <w:rFonts w:ascii="Times New Roman" w:hAnsi="Times New Roman" w:eastAsia="Times New Roman" w:cs="Times New Roman"/>
                <w:color w:val="000000"/>
              </w:rPr>
              <w:t xml:space="preserve"> </w:t>
            </w:r>
          </w:p>
          <w:p>
            <w:pPr>
              <w:widowControl/>
              <w:spacing w:line="333" w:lineRule="auto"/>
              <w:jc w:val="left"/>
              <w:rPr>
                <w:rFonts w:ascii="宋体" w:hAnsi="宋体" w:eastAsia="宋体" w:cs="宋体"/>
                <w:color w:val="000000"/>
              </w:rPr>
            </w:pPr>
            <w:r>
              <w:rPr>
                <w:rFonts w:ascii="Wingdings 2" w:hAnsi="Wingdings 2" w:eastAsia="Wingdings 2" w:cs="Wingdings 2"/>
                <w:color w:val="000000"/>
              </w:rPr>
              <w:t></w:t>
            </w:r>
            <w:r>
              <w:rPr>
                <w:rFonts w:ascii="宋体" w:hAnsi="宋体" w:eastAsia="宋体" w:cs="宋体"/>
                <w:color w:val="000000"/>
              </w:rPr>
              <w:t>投标函及投标函附录中载明的投标质量标准未响应招标文件的实质性要求和条件；</w:t>
            </w:r>
            <w:r>
              <w:rPr>
                <w:rFonts w:ascii="Times New Roman" w:hAnsi="Times New Roman" w:eastAsia="Times New Roman" w:cs="Times New Roman"/>
                <w:color w:val="000000"/>
              </w:rPr>
              <w:t xml:space="preserve"> </w:t>
            </w:r>
          </w:p>
          <w:p>
            <w:pPr>
              <w:widowControl/>
              <w:spacing w:line="259" w:lineRule="auto"/>
              <w:jc w:val="left"/>
              <w:rPr>
                <w:rFonts w:ascii="宋体" w:hAnsi="宋体" w:eastAsia="宋体" w:cs="宋体"/>
                <w:color w:val="000000"/>
              </w:rPr>
            </w:pPr>
            <w:r>
              <w:rPr>
                <w:rFonts w:ascii="Wingdings 2" w:hAnsi="Wingdings 2" w:eastAsia="Wingdings 2" w:cs="Wingdings 2"/>
                <w:color w:val="000000"/>
              </w:rPr>
              <w:t></w:t>
            </w:r>
            <w:r>
              <w:rPr>
                <w:rFonts w:ascii="宋体" w:hAnsi="宋体" w:eastAsia="宋体" w:cs="宋体"/>
                <w:color w:val="000000"/>
              </w:rPr>
              <w:t>投标函及投标函附录中载明的投标报价高于招标人期望值；</w:t>
            </w:r>
            <w:r>
              <w:rPr>
                <w:rFonts w:ascii="Times New Roman" w:hAnsi="Times New Roman" w:eastAsia="Times New Roman" w:cs="Times New Roman"/>
                <w:color w:val="000000"/>
              </w:rPr>
              <w:t xml:space="preserve"> </w:t>
            </w:r>
          </w:p>
        </w:tc>
      </w:tr>
      <w:tr>
        <w:tblPrEx>
          <w:tblCellMar>
            <w:top w:w="87" w:type="dxa"/>
            <w:left w:w="106" w:type="dxa"/>
            <w:bottom w:w="0" w:type="dxa"/>
            <w:right w:w="0" w:type="dxa"/>
          </w:tblCellMar>
        </w:tblPrEx>
        <w:trPr>
          <w:trHeight w:val="372" w:hRule="atLeast"/>
        </w:trPr>
        <w:tc>
          <w:tcPr>
            <w:tcW w:w="1884" w:type="dxa"/>
            <w:gridSpan w:val="2"/>
            <w:tcBorders>
              <w:top w:val="single" w:color="000000" w:sz="4" w:space="0"/>
              <w:left w:val="single" w:color="000000" w:sz="4" w:space="0"/>
              <w:bottom w:val="single" w:color="000000" w:sz="4" w:space="0"/>
              <w:right w:val="nil"/>
            </w:tcBorders>
          </w:tcPr>
          <w:p>
            <w:pPr>
              <w:widowControl/>
              <w:spacing w:after="160" w:line="259" w:lineRule="auto"/>
              <w:jc w:val="left"/>
              <w:rPr>
                <w:rFonts w:ascii="宋体" w:hAnsi="宋体" w:eastAsia="宋体" w:cs="宋体"/>
                <w:color w:val="000000"/>
              </w:rPr>
            </w:pPr>
          </w:p>
        </w:tc>
        <w:tc>
          <w:tcPr>
            <w:tcW w:w="6820" w:type="dxa"/>
            <w:gridSpan w:val="2"/>
            <w:tcBorders>
              <w:top w:val="single" w:color="000000" w:sz="4" w:space="0"/>
              <w:left w:val="nil"/>
              <w:bottom w:val="single" w:color="000000" w:sz="4" w:space="0"/>
              <w:right w:val="single" w:color="000000" w:sz="4" w:space="0"/>
            </w:tcBorders>
          </w:tcPr>
          <w:p>
            <w:pPr>
              <w:widowControl/>
              <w:spacing w:line="259" w:lineRule="auto"/>
              <w:ind w:left="1880"/>
              <w:jc w:val="left"/>
              <w:rPr>
                <w:rFonts w:ascii="宋体" w:hAnsi="宋体" w:eastAsia="宋体" w:cs="宋体"/>
                <w:color w:val="000000"/>
              </w:rPr>
            </w:pPr>
            <w:r>
              <w:rPr>
                <w:rFonts w:ascii="宋体" w:hAnsi="宋体" w:eastAsia="宋体" w:cs="宋体"/>
                <w:color w:val="000000"/>
                <w:sz w:val="24"/>
              </w:rPr>
              <w:t>初步评审</w:t>
            </w:r>
            <w:r>
              <w:rPr>
                <w:rFonts w:ascii="Times New Roman" w:hAnsi="Times New Roman" w:eastAsia="Times New Roman" w:cs="Times New Roman"/>
                <w:b/>
                <w:color w:val="000000"/>
                <w:sz w:val="24"/>
              </w:rPr>
              <w:t xml:space="preserve"> </w:t>
            </w:r>
          </w:p>
        </w:tc>
      </w:tr>
      <w:tr>
        <w:tblPrEx>
          <w:tblCellMar>
            <w:top w:w="87" w:type="dxa"/>
            <w:left w:w="106" w:type="dxa"/>
            <w:bottom w:w="0" w:type="dxa"/>
            <w:right w:w="0" w:type="dxa"/>
          </w:tblCellMar>
        </w:tblPrEx>
        <w:trPr>
          <w:trHeight w:val="370" w:hRule="atLeast"/>
        </w:trPr>
        <w:tc>
          <w:tcPr>
            <w:tcW w:w="1884" w:type="dxa"/>
            <w:gridSpan w:val="2"/>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条款号</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10"/>
              <w:jc w:val="center"/>
              <w:rPr>
                <w:rFonts w:ascii="宋体" w:hAnsi="宋体" w:eastAsia="宋体" w:cs="宋体"/>
                <w:color w:val="000000"/>
              </w:rPr>
            </w:pPr>
            <w:r>
              <w:rPr>
                <w:rFonts w:ascii="宋体" w:hAnsi="宋体" w:eastAsia="宋体" w:cs="宋体"/>
                <w:color w:val="000000"/>
              </w:rPr>
              <w:t>评审因素</w:t>
            </w:r>
            <w:r>
              <w:rPr>
                <w:rFonts w:ascii="Times New Roman" w:hAnsi="Times New Roman" w:eastAsia="Times New Roman" w:cs="Times New Roman"/>
                <w:b/>
                <w:color w:val="000000"/>
              </w:rPr>
              <w:t xml:space="preserve">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评审标准</w:t>
            </w:r>
            <w:r>
              <w:rPr>
                <w:rFonts w:ascii="Times New Roman" w:hAnsi="Times New Roman" w:eastAsia="Times New Roman" w:cs="Times New Roman"/>
                <w:b/>
                <w:color w:val="000000"/>
              </w:rPr>
              <w:t xml:space="preserve"> </w:t>
            </w:r>
          </w:p>
        </w:tc>
      </w:tr>
      <w:tr>
        <w:tblPrEx>
          <w:tblCellMar>
            <w:top w:w="87" w:type="dxa"/>
            <w:left w:w="106" w:type="dxa"/>
            <w:bottom w:w="0" w:type="dxa"/>
            <w:right w:w="0" w:type="dxa"/>
          </w:tblCellMar>
        </w:tblPrEx>
        <w:trPr>
          <w:trHeight w:val="370" w:hRule="atLeast"/>
        </w:trPr>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62"/>
              <w:jc w:val="left"/>
              <w:rPr>
                <w:rFonts w:ascii="宋体" w:hAnsi="宋体" w:eastAsia="宋体" w:cs="宋体"/>
                <w:color w:val="000000"/>
              </w:rPr>
            </w:pPr>
            <w:r>
              <w:rPr>
                <w:rFonts w:ascii="宋体" w:hAnsi="宋体" w:eastAsia="宋体" w:cs="宋体"/>
                <w:color w:val="000000"/>
              </w:rPr>
              <w:t xml:space="preserve">2.2.1 </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2"/>
              <w:jc w:val="left"/>
              <w:rPr>
                <w:rFonts w:ascii="宋体" w:hAnsi="宋体" w:eastAsia="宋体" w:cs="宋体"/>
                <w:color w:val="000000"/>
              </w:rPr>
            </w:pPr>
            <w:r>
              <w:rPr>
                <w:rFonts w:ascii="宋体" w:hAnsi="宋体" w:eastAsia="宋体" w:cs="宋体"/>
                <w:color w:val="000000"/>
              </w:rPr>
              <w:t>形 式 评审标准</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投标人名称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与营业执照、资质证书、安全生产许可证一致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25"/>
              <w:rPr>
                <w:rFonts w:ascii="宋体" w:hAnsi="宋体" w:eastAsia="宋体" w:cs="宋体"/>
                <w:color w:val="000000"/>
              </w:rPr>
            </w:pPr>
            <w:r>
              <w:rPr>
                <w:rFonts w:ascii="宋体" w:hAnsi="宋体" w:eastAsia="宋体" w:cs="宋体"/>
                <w:color w:val="000000"/>
              </w:rPr>
              <w:t xml:space="preserve">投标文件签字盖章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符合第二章投标人须知前附表</w:t>
            </w:r>
            <w:r>
              <w:rPr>
                <w:rFonts w:hint="eastAsia" w:ascii="宋体" w:hAnsi="宋体" w:eastAsia="宋体" w:cs="宋体"/>
                <w:color w:val="000000"/>
              </w:rPr>
              <w:t>6.1</w:t>
            </w:r>
            <w:r>
              <w:rPr>
                <w:rFonts w:ascii="宋体" w:hAnsi="宋体" w:eastAsia="宋体" w:cs="宋体"/>
                <w:color w:val="000000"/>
              </w:rPr>
              <w:t xml:space="preserve">要求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233"/>
              <w:jc w:val="left"/>
              <w:rPr>
                <w:rFonts w:ascii="宋体" w:hAnsi="宋体" w:eastAsia="宋体" w:cs="宋体"/>
                <w:color w:val="000000"/>
              </w:rPr>
            </w:pPr>
            <w:r>
              <w:rPr>
                <w:rFonts w:ascii="宋体" w:hAnsi="宋体" w:eastAsia="宋体" w:cs="宋体"/>
                <w:color w:val="000000"/>
              </w:rPr>
              <w:t xml:space="preserve">投标文件格式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符合第八章“投标文件格式”的要求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233"/>
              <w:jc w:val="left"/>
              <w:rPr>
                <w:rFonts w:ascii="宋体" w:hAnsi="宋体" w:eastAsia="宋体" w:cs="宋体"/>
                <w:color w:val="000000"/>
              </w:rPr>
            </w:pPr>
            <w:r>
              <w:rPr>
                <w:rFonts w:ascii="宋体" w:hAnsi="宋体" w:eastAsia="宋体" w:cs="宋体"/>
                <w:color w:val="000000"/>
              </w:rPr>
              <w:t xml:space="preserve">联合体投标人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rPr>
                <w:rFonts w:ascii="宋体" w:hAnsi="宋体" w:eastAsia="宋体" w:cs="宋体"/>
                <w:color w:val="000000"/>
              </w:rPr>
            </w:pPr>
            <w:r>
              <w:rPr>
                <w:rFonts w:ascii="宋体" w:hAnsi="宋体" w:eastAsia="宋体" w:cs="宋体"/>
                <w:color w:val="000000"/>
              </w:rPr>
              <w:t xml:space="preserve">提交联合体协议书，并明确联合体牵头人（如有） </w:t>
            </w:r>
          </w:p>
        </w:tc>
      </w:tr>
      <w:tr>
        <w:tblPrEx>
          <w:tblCellMar>
            <w:top w:w="87" w:type="dxa"/>
            <w:left w:w="106" w:type="dxa"/>
            <w:bottom w:w="0" w:type="dxa"/>
            <w:right w:w="0" w:type="dxa"/>
          </w:tblCellMar>
        </w:tblPrEx>
        <w:trPr>
          <w:trHeight w:val="372" w:hRule="atLeast"/>
        </w:trPr>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报价唯一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只能有一个有效报价 </w:t>
            </w:r>
          </w:p>
        </w:tc>
      </w:tr>
      <w:tr>
        <w:tblPrEx>
          <w:tblCellMar>
            <w:top w:w="87" w:type="dxa"/>
            <w:left w:w="106" w:type="dxa"/>
            <w:bottom w:w="0" w:type="dxa"/>
            <w:right w:w="0" w:type="dxa"/>
          </w:tblCellMar>
        </w:tblPrEx>
        <w:trPr>
          <w:trHeight w:val="370" w:hRule="atLeast"/>
        </w:trPr>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62"/>
              <w:jc w:val="left"/>
              <w:rPr>
                <w:rFonts w:ascii="宋体" w:hAnsi="宋体" w:eastAsia="宋体" w:cs="宋体"/>
                <w:color w:val="000000"/>
              </w:rPr>
            </w:pPr>
            <w:r>
              <w:rPr>
                <w:rFonts w:ascii="宋体" w:hAnsi="宋体" w:eastAsia="宋体" w:cs="宋体"/>
                <w:color w:val="000000"/>
              </w:rPr>
              <w:t xml:space="preserve">2.2.2 </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2"/>
              <w:jc w:val="left"/>
              <w:rPr>
                <w:rFonts w:ascii="宋体" w:hAnsi="宋体" w:eastAsia="宋体" w:cs="宋体"/>
                <w:color w:val="000000"/>
              </w:rPr>
            </w:pPr>
            <w:r>
              <w:rPr>
                <w:rFonts w:ascii="宋体" w:hAnsi="宋体" w:eastAsia="宋体" w:cs="宋体"/>
                <w:color w:val="000000"/>
              </w:rPr>
              <w:t>资 格 评审标准</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营业执照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具备有效的营业执照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128"/>
              <w:jc w:val="left"/>
              <w:rPr>
                <w:rFonts w:ascii="宋体" w:hAnsi="宋体" w:eastAsia="宋体" w:cs="宋体"/>
                <w:color w:val="000000"/>
              </w:rPr>
            </w:pPr>
            <w:r>
              <w:rPr>
                <w:rFonts w:ascii="宋体" w:hAnsi="宋体" w:eastAsia="宋体" w:cs="宋体"/>
                <w:color w:val="000000"/>
              </w:rPr>
              <w:t xml:space="preserve">安全生产许可证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具备有效的安全生产许可证 </w:t>
            </w:r>
          </w:p>
        </w:tc>
      </w:tr>
      <w:tr>
        <w:tblPrEx>
          <w:tblCellMar>
            <w:top w:w="87" w:type="dxa"/>
            <w:left w:w="106" w:type="dxa"/>
            <w:bottom w:w="0" w:type="dxa"/>
            <w:right w:w="0" w:type="dxa"/>
          </w:tblCellMar>
        </w:tblPrEx>
        <w:trPr>
          <w:trHeight w:val="109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jc w:val="center"/>
              <w:rPr>
                <w:rFonts w:ascii="宋体" w:hAnsi="宋体" w:eastAsia="宋体" w:cs="宋体"/>
                <w:color w:val="000000"/>
              </w:rPr>
            </w:pPr>
            <w:r>
              <w:rPr>
                <w:rFonts w:ascii="宋体" w:hAnsi="宋体" w:eastAsia="宋体" w:cs="宋体"/>
                <w:color w:val="000000"/>
              </w:rPr>
              <w:t xml:space="preserve">企业基本存款账户开户许可证或基本存款账户证明材料 </w:t>
            </w:r>
          </w:p>
        </w:tc>
        <w:tc>
          <w:tcPr>
            <w:tcW w:w="4875"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jc w:val="left"/>
              <w:rPr>
                <w:rFonts w:ascii="宋体" w:hAnsi="宋体" w:eastAsia="宋体" w:cs="宋体"/>
                <w:color w:val="000000"/>
              </w:rPr>
            </w:pPr>
            <w:r>
              <w:rPr>
                <w:rFonts w:ascii="宋体" w:hAnsi="宋体" w:eastAsia="宋体" w:cs="宋体"/>
                <w:color w:val="000000"/>
              </w:rPr>
              <w:t xml:space="preserve">具备企业基本存款账户开户许可证或基本存款账户证明材料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资质证书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具备有效的资质证书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资质等级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 1.4.1项规定 </w:t>
            </w:r>
          </w:p>
        </w:tc>
      </w:tr>
      <w:tr>
        <w:tblPrEx>
          <w:tblCellMar>
            <w:top w:w="87" w:type="dxa"/>
            <w:left w:w="106" w:type="dxa"/>
            <w:bottom w:w="0" w:type="dxa"/>
            <w:right w:w="0" w:type="dxa"/>
          </w:tblCellMar>
        </w:tblPrEx>
        <w:trPr>
          <w:trHeight w:val="372"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财务要求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 1.4.1项规定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业绩要求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符合第二章“投标人须知”第1.4.1项规定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信誉要求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 1.4.1项规定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128"/>
              <w:jc w:val="left"/>
              <w:rPr>
                <w:rFonts w:ascii="宋体" w:hAnsi="宋体" w:eastAsia="宋体" w:cs="宋体"/>
                <w:color w:val="000000"/>
              </w:rPr>
            </w:pPr>
            <w:r>
              <w:rPr>
                <w:rFonts w:ascii="宋体" w:hAnsi="宋体" w:eastAsia="宋体" w:cs="宋体"/>
                <w:color w:val="000000"/>
              </w:rPr>
              <w:t xml:space="preserve">拟派项目负责人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 1.4.1项规定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233"/>
              <w:jc w:val="left"/>
              <w:rPr>
                <w:rFonts w:ascii="宋体" w:hAnsi="宋体" w:eastAsia="宋体" w:cs="宋体"/>
                <w:color w:val="000000"/>
              </w:rPr>
            </w:pPr>
            <w:r>
              <w:rPr>
                <w:rFonts w:ascii="宋体" w:hAnsi="宋体" w:eastAsia="宋体" w:cs="宋体"/>
                <w:color w:val="000000"/>
              </w:rPr>
              <w:t xml:space="preserve">联合体投标人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rPr>
                <w:rFonts w:ascii="宋体" w:hAnsi="宋体" w:eastAsia="宋体" w:cs="宋体"/>
                <w:color w:val="000000"/>
              </w:rPr>
            </w:pPr>
            <w:r>
              <w:rPr>
                <w:rFonts w:ascii="宋体" w:hAnsi="宋体" w:eastAsia="宋体" w:cs="宋体"/>
                <w:color w:val="000000"/>
              </w:rPr>
              <w:t xml:space="preserve">符合第二章“投标人须知”第 1.4.2项规定（如有）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其他要求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 1.4.1项规定 </w:t>
            </w:r>
          </w:p>
        </w:tc>
      </w:tr>
      <w:tr>
        <w:tblPrEx>
          <w:tblCellMar>
            <w:top w:w="87" w:type="dxa"/>
            <w:left w:w="106" w:type="dxa"/>
            <w:bottom w:w="0" w:type="dxa"/>
            <w:right w:w="0" w:type="dxa"/>
          </w:tblCellMar>
        </w:tblPrEx>
        <w:trPr>
          <w:trHeight w:val="732" w:hRule="atLeast"/>
        </w:trPr>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jc w:val="center"/>
              <w:rPr>
                <w:rFonts w:ascii="宋体" w:hAnsi="宋体" w:eastAsia="宋体" w:cs="宋体"/>
                <w:color w:val="000000"/>
              </w:rPr>
            </w:pPr>
            <w:r>
              <w:rPr>
                <w:rFonts w:ascii="宋体" w:hAnsi="宋体" w:eastAsia="宋体" w:cs="宋体"/>
                <w:color w:val="000000"/>
              </w:rPr>
              <w:t xml:space="preserve">不存在禁止投标的情形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不存在第二章“投标人须知”第1.4.3项规定的任何一种情形 </w:t>
            </w:r>
          </w:p>
        </w:tc>
      </w:tr>
      <w:tr>
        <w:tblPrEx>
          <w:tblCellMar>
            <w:top w:w="87" w:type="dxa"/>
            <w:left w:w="106" w:type="dxa"/>
            <w:bottom w:w="0" w:type="dxa"/>
            <w:right w:w="0" w:type="dxa"/>
          </w:tblCellMar>
        </w:tblPrEx>
        <w:trPr>
          <w:trHeight w:val="370" w:hRule="atLeast"/>
        </w:trPr>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62"/>
              <w:jc w:val="left"/>
              <w:rPr>
                <w:rFonts w:ascii="宋体" w:hAnsi="宋体" w:eastAsia="宋体" w:cs="宋体"/>
                <w:color w:val="000000"/>
              </w:rPr>
            </w:pPr>
            <w:r>
              <w:rPr>
                <w:rFonts w:ascii="宋体" w:hAnsi="宋体" w:eastAsia="宋体" w:cs="宋体"/>
                <w:color w:val="000000"/>
              </w:rPr>
              <w:t>2.2.3</w:t>
            </w:r>
            <w:r>
              <w:rPr>
                <w:rFonts w:ascii="Times New Roman" w:hAnsi="Times New Roman" w:eastAsia="Times New Roman" w:cs="Times New Roman"/>
                <w:color w:val="000000"/>
              </w:rPr>
              <w:t xml:space="preserve"> </w:t>
            </w:r>
          </w:p>
        </w:tc>
        <w:tc>
          <w:tcPr>
            <w:tcW w:w="1020" w:type="dxa"/>
            <w:vMerge w:val="restart"/>
            <w:tcBorders>
              <w:top w:val="single" w:color="000000" w:sz="4" w:space="0"/>
              <w:left w:val="single" w:color="000000" w:sz="4" w:space="0"/>
              <w:bottom w:val="single" w:color="000000" w:sz="4" w:space="0"/>
              <w:right w:val="single" w:color="000000" w:sz="4" w:space="0"/>
            </w:tcBorders>
          </w:tcPr>
          <w:p>
            <w:pPr>
              <w:widowControl/>
              <w:spacing w:line="259" w:lineRule="auto"/>
              <w:ind w:left="2"/>
              <w:jc w:val="left"/>
              <w:rPr>
                <w:rFonts w:ascii="宋体" w:hAnsi="宋体" w:eastAsia="宋体" w:cs="宋体"/>
                <w:color w:val="000000"/>
              </w:rPr>
            </w:pPr>
            <w:r>
              <w:rPr>
                <w:rFonts w:ascii="宋体" w:hAnsi="宋体" w:eastAsia="宋体" w:cs="宋体"/>
                <w:color w:val="000000"/>
              </w:rPr>
              <w:t>响应性评审</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投标内容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符合第二章“投标人须知”第1.3.1项规定 </w:t>
            </w:r>
          </w:p>
        </w:tc>
      </w:tr>
      <w:tr>
        <w:tblPrEx>
          <w:tblCellMar>
            <w:top w:w="87" w:type="dxa"/>
            <w:left w:w="106" w:type="dxa"/>
            <w:bottom w:w="0" w:type="dxa"/>
            <w:right w:w="0" w:type="dxa"/>
          </w:tblCellMar>
        </w:tblPrEx>
        <w:trPr>
          <w:trHeight w:val="370" w:hRule="atLeast"/>
        </w:trPr>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10"/>
              <w:jc w:val="center"/>
              <w:rPr>
                <w:rFonts w:ascii="宋体" w:hAnsi="宋体" w:eastAsia="宋体" w:cs="宋体"/>
                <w:color w:val="000000"/>
              </w:rPr>
            </w:pPr>
            <w:r>
              <w:rPr>
                <w:rFonts w:ascii="宋体" w:hAnsi="宋体" w:eastAsia="宋体" w:cs="宋体"/>
                <w:color w:val="000000"/>
              </w:rPr>
              <w:t xml:space="preserve">工期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rPr>
                <w:rFonts w:ascii="宋体" w:hAnsi="宋体" w:eastAsia="宋体" w:cs="宋体"/>
                <w:color w:val="000000"/>
              </w:rPr>
            </w:pPr>
            <w:r>
              <w:rPr>
                <w:rFonts w:ascii="宋体" w:hAnsi="宋体" w:eastAsia="宋体" w:cs="宋体"/>
                <w:color w:val="000000"/>
              </w:rPr>
              <w:t>投标函附录中载明的工期符合第二章“投标人须知”</w:t>
            </w:r>
          </w:p>
        </w:tc>
      </w:tr>
      <w:tr>
        <w:tblPrEx>
          <w:tblCellMar>
            <w:top w:w="89" w:type="dxa"/>
            <w:left w:w="106" w:type="dxa"/>
            <w:bottom w:w="0" w:type="dxa"/>
            <w:right w:w="0" w:type="dxa"/>
          </w:tblCellMar>
        </w:tblPrEx>
        <w:trPr>
          <w:trHeight w:val="370" w:hRule="atLeast"/>
        </w:trPr>
        <w:tc>
          <w:tcPr>
            <w:tcW w:w="864" w:type="dxa"/>
            <w:vMerge w:val="restart"/>
            <w:tcBorders>
              <w:top w:val="single" w:color="000000" w:sz="4" w:space="0"/>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1020" w:type="dxa"/>
            <w:vMerge w:val="restart"/>
            <w:tcBorders>
              <w:top w:val="single" w:color="000000" w:sz="4" w:space="0"/>
              <w:left w:val="single" w:color="000000" w:sz="4" w:space="0"/>
              <w:bottom w:val="single" w:color="000000" w:sz="4" w:space="0"/>
              <w:right w:val="single" w:color="000000" w:sz="4" w:space="0"/>
            </w:tcBorders>
          </w:tcPr>
          <w:p>
            <w:pPr>
              <w:widowControl/>
              <w:spacing w:line="259" w:lineRule="auto"/>
              <w:ind w:left="2"/>
              <w:jc w:val="left"/>
              <w:rPr>
                <w:rFonts w:ascii="宋体" w:hAnsi="宋体" w:eastAsia="宋体" w:cs="宋体"/>
                <w:color w:val="000000"/>
              </w:rPr>
            </w:pPr>
            <w:r>
              <w:rPr>
                <w:rFonts w:ascii="宋体" w:hAnsi="宋体" w:eastAsia="宋体" w:cs="宋体"/>
                <w:color w:val="000000"/>
              </w:rPr>
              <w:t>标准</w:t>
            </w:r>
            <w:r>
              <w:rPr>
                <w:rFonts w:ascii="Times New Roman" w:hAnsi="Times New Roman" w:eastAsia="Times New Roman" w:cs="Times New Roman"/>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vAlign w:val="bottom"/>
          </w:tcPr>
          <w:p>
            <w:pPr>
              <w:widowControl/>
              <w:spacing w:after="160" w:line="259" w:lineRule="auto"/>
              <w:jc w:val="left"/>
              <w:rPr>
                <w:rFonts w:ascii="宋体" w:hAnsi="宋体" w:eastAsia="宋体" w:cs="宋体"/>
                <w:color w:val="000000"/>
              </w:rPr>
            </w:pP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第1.3.2项规定 </w:t>
            </w:r>
          </w:p>
        </w:tc>
      </w:tr>
      <w:tr>
        <w:tblPrEx>
          <w:tblCellMar>
            <w:top w:w="89" w:type="dxa"/>
            <w:left w:w="106" w:type="dxa"/>
            <w:bottom w:w="0" w:type="dxa"/>
            <w:right w:w="0" w:type="dxa"/>
          </w:tblCellMar>
        </w:tblPrEx>
        <w:trPr>
          <w:trHeight w:val="73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工程质量 </w:t>
            </w:r>
          </w:p>
        </w:tc>
        <w:tc>
          <w:tcPr>
            <w:tcW w:w="4875" w:type="dxa"/>
            <w:tcBorders>
              <w:top w:val="single" w:color="000000" w:sz="4" w:space="0"/>
              <w:left w:val="single" w:color="000000" w:sz="4" w:space="0"/>
              <w:bottom w:val="single" w:color="000000" w:sz="4" w:space="0"/>
              <w:right w:val="single" w:color="000000" w:sz="4" w:space="0"/>
            </w:tcBorders>
          </w:tcPr>
          <w:p>
            <w:pPr>
              <w:widowControl/>
              <w:spacing w:after="63" w:line="259" w:lineRule="auto"/>
              <w:rPr>
                <w:rFonts w:ascii="宋体" w:hAnsi="宋体" w:eastAsia="宋体" w:cs="宋体"/>
                <w:color w:val="000000"/>
              </w:rPr>
            </w:pPr>
            <w:r>
              <w:rPr>
                <w:rFonts w:ascii="宋体" w:hAnsi="宋体" w:eastAsia="宋体" w:cs="宋体"/>
                <w:color w:val="000000"/>
              </w:rPr>
              <w:t>投标函中载明的质量符合第二章“投标人须知”第</w:t>
            </w:r>
          </w:p>
          <w:p>
            <w:pPr>
              <w:widowControl/>
              <w:spacing w:line="259" w:lineRule="auto"/>
              <w:jc w:val="left"/>
              <w:rPr>
                <w:rFonts w:ascii="宋体" w:hAnsi="宋体" w:eastAsia="宋体" w:cs="宋体"/>
                <w:color w:val="000000"/>
              </w:rPr>
            </w:pPr>
            <w:r>
              <w:rPr>
                <w:rFonts w:ascii="宋体" w:hAnsi="宋体" w:eastAsia="宋体" w:cs="宋体"/>
                <w:color w:val="000000"/>
              </w:rPr>
              <w:t xml:space="preserve">1.3.3项规定 </w:t>
            </w:r>
          </w:p>
        </w:tc>
      </w:tr>
      <w:tr>
        <w:tblPrEx>
          <w:tblCellMar>
            <w:top w:w="89" w:type="dxa"/>
            <w:left w:w="106" w:type="dxa"/>
            <w:bottom w:w="0" w:type="dxa"/>
            <w:right w:w="0" w:type="dxa"/>
          </w:tblCellMar>
        </w:tblPrEx>
        <w:trPr>
          <w:trHeight w:val="372"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投标有效期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符合第二章“投标人须知”第3.3.1项规定 </w:t>
            </w:r>
          </w:p>
        </w:tc>
      </w:tr>
      <w:tr>
        <w:tblPrEx>
          <w:tblCellMar>
            <w:top w:w="89"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投标报价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符合第一章“投标人须知前附表”第</w:t>
            </w:r>
            <w:r>
              <w:rPr>
                <w:rFonts w:hint="eastAsia" w:ascii="宋体" w:hAnsi="宋体" w:eastAsia="宋体" w:cs="宋体"/>
                <w:color w:val="000000"/>
              </w:rPr>
              <w:t>3.3.3</w:t>
            </w:r>
            <w:r>
              <w:rPr>
                <w:rFonts w:ascii="宋体" w:hAnsi="宋体" w:eastAsia="宋体" w:cs="宋体"/>
                <w:color w:val="000000"/>
              </w:rPr>
              <w:t xml:space="preserve">项规定 </w:t>
            </w:r>
          </w:p>
        </w:tc>
      </w:tr>
      <w:tr>
        <w:tblPrEx>
          <w:tblCellMar>
            <w:top w:w="89"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128"/>
              <w:jc w:val="left"/>
              <w:rPr>
                <w:rFonts w:ascii="宋体" w:hAnsi="宋体" w:eastAsia="宋体" w:cs="宋体"/>
                <w:color w:val="000000"/>
              </w:rPr>
            </w:pPr>
            <w:r>
              <w:rPr>
                <w:rFonts w:ascii="宋体" w:hAnsi="宋体" w:eastAsia="宋体" w:cs="宋体"/>
                <w:color w:val="000000"/>
              </w:rPr>
              <w:t xml:space="preserve">技术标准和要求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符合第七章“技术标准和要求”规定 </w:t>
            </w:r>
          </w:p>
        </w:tc>
      </w:tr>
      <w:tr>
        <w:tblPrEx>
          <w:tblCellMar>
            <w:top w:w="89" w:type="dxa"/>
            <w:left w:w="106" w:type="dxa"/>
            <w:bottom w:w="0" w:type="dxa"/>
            <w:right w:w="0" w:type="dxa"/>
          </w:tblCellMar>
        </w:tblPrEx>
        <w:trPr>
          <w:trHeight w:val="370" w:hRule="atLeast"/>
        </w:trPr>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nil"/>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7"/>
              <w:jc w:val="center"/>
              <w:rPr>
                <w:rFonts w:ascii="宋体" w:hAnsi="宋体" w:eastAsia="宋体" w:cs="宋体"/>
                <w:color w:val="000000"/>
              </w:rPr>
            </w:pPr>
            <w:r>
              <w:rPr>
                <w:rFonts w:ascii="宋体" w:hAnsi="宋体" w:eastAsia="宋体" w:cs="宋体"/>
                <w:color w:val="000000"/>
              </w:rPr>
              <w:t xml:space="preserve">分包计划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rPr>
                <w:rFonts w:ascii="宋体" w:hAnsi="宋体" w:eastAsia="宋体" w:cs="宋体"/>
                <w:color w:val="000000"/>
              </w:rPr>
            </w:pPr>
            <w:r>
              <w:rPr>
                <w:rFonts w:ascii="宋体" w:hAnsi="宋体" w:eastAsia="宋体" w:cs="宋体"/>
                <w:color w:val="000000"/>
              </w:rPr>
              <w:t xml:space="preserve">符合第二章“投标人须知”第1.10项规定（如有） </w:t>
            </w:r>
          </w:p>
        </w:tc>
      </w:tr>
      <w:tr>
        <w:tblPrEx>
          <w:tblCellMar>
            <w:top w:w="89" w:type="dxa"/>
            <w:left w:w="106" w:type="dxa"/>
            <w:bottom w:w="0" w:type="dxa"/>
            <w:right w:w="0" w:type="dxa"/>
          </w:tblCellMar>
        </w:tblPrEx>
        <w:trPr>
          <w:trHeight w:val="370" w:hRule="atLeast"/>
        </w:trPr>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0" w:type="auto"/>
            <w:vMerge w:val="continue"/>
            <w:tcBorders>
              <w:top w:val="nil"/>
              <w:left w:val="single" w:color="000000" w:sz="4" w:space="0"/>
              <w:bottom w:val="single" w:color="000000" w:sz="4" w:space="0"/>
              <w:right w:val="single" w:color="000000" w:sz="4" w:space="0"/>
            </w:tcBorders>
          </w:tcPr>
          <w:p>
            <w:pPr>
              <w:widowControl/>
              <w:spacing w:after="160" w:line="259" w:lineRule="auto"/>
              <w:jc w:val="left"/>
              <w:rPr>
                <w:rFonts w:ascii="宋体" w:hAnsi="宋体" w:eastAsia="宋体" w:cs="宋体"/>
                <w:color w:val="000000"/>
              </w:rPr>
            </w:pP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left="128"/>
              <w:jc w:val="left"/>
              <w:rPr>
                <w:rFonts w:ascii="宋体" w:hAnsi="宋体" w:eastAsia="宋体" w:cs="宋体"/>
                <w:color w:val="000000"/>
              </w:rPr>
            </w:pPr>
            <w:r>
              <w:rPr>
                <w:rFonts w:ascii="宋体" w:hAnsi="宋体" w:eastAsia="宋体" w:cs="宋体"/>
                <w:color w:val="000000"/>
              </w:rPr>
              <w:t xml:space="preserve">诚信投标承诺书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 xml:space="preserve">符合招标文件要求 </w:t>
            </w:r>
          </w:p>
        </w:tc>
      </w:tr>
      <w:tr>
        <w:tblPrEx>
          <w:tblCellMar>
            <w:top w:w="89" w:type="dxa"/>
            <w:left w:w="106" w:type="dxa"/>
            <w:bottom w:w="0" w:type="dxa"/>
            <w:right w:w="0" w:type="dxa"/>
          </w:tblCellMar>
        </w:tblPrEx>
        <w:trPr>
          <w:trHeight w:val="372" w:hRule="atLeast"/>
        </w:trPr>
        <w:tc>
          <w:tcPr>
            <w:tcW w:w="1884" w:type="dxa"/>
            <w:gridSpan w:val="2"/>
            <w:tcBorders>
              <w:top w:val="single" w:color="000000" w:sz="4" w:space="0"/>
              <w:left w:val="single" w:color="000000" w:sz="4" w:space="0"/>
              <w:bottom w:val="single" w:color="000000" w:sz="4" w:space="0"/>
              <w:right w:val="nil"/>
            </w:tcBorders>
          </w:tcPr>
          <w:p>
            <w:pPr>
              <w:widowControl/>
              <w:spacing w:after="160" w:line="259" w:lineRule="auto"/>
              <w:jc w:val="left"/>
              <w:rPr>
                <w:rFonts w:ascii="宋体" w:hAnsi="宋体" w:eastAsia="宋体" w:cs="宋体"/>
                <w:color w:val="000000"/>
              </w:rPr>
            </w:pPr>
          </w:p>
        </w:tc>
        <w:tc>
          <w:tcPr>
            <w:tcW w:w="6820" w:type="dxa"/>
            <w:gridSpan w:val="2"/>
            <w:tcBorders>
              <w:top w:val="single" w:color="000000" w:sz="4" w:space="0"/>
              <w:left w:val="nil"/>
              <w:bottom w:val="single" w:color="000000" w:sz="4" w:space="0"/>
              <w:right w:val="single" w:color="000000" w:sz="4" w:space="0"/>
            </w:tcBorders>
          </w:tcPr>
          <w:p>
            <w:pPr>
              <w:widowControl/>
              <w:spacing w:line="259" w:lineRule="auto"/>
              <w:ind w:left="1880"/>
              <w:jc w:val="left"/>
              <w:rPr>
                <w:rFonts w:ascii="宋体" w:hAnsi="宋体" w:eastAsia="宋体" w:cs="宋体"/>
                <w:color w:val="000000"/>
              </w:rPr>
            </w:pPr>
            <w:r>
              <w:rPr>
                <w:rFonts w:ascii="宋体" w:hAnsi="宋体" w:eastAsia="宋体" w:cs="宋体"/>
                <w:color w:val="000000"/>
                <w:sz w:val="24"/>
              </w:rPr>
              <w:t>详细评审</w:t>
            </w:r>
            <w:r>
              <w:rPr>
                <w:rFonts w:ascii="Times New Roman" w:hAnsi="Times New Roman" w:eastAsia="Times New Roman" w:cs="Times New Roman"/>
                <w:color w:val="000000"/>
                <w:sz w:val="24"/>
              </w:rPr>
              <w:t xml:space="preserve"> </w:t>
            </w:r>
          </w:p>
        </w:tc>
      </w:tr>
      <w:tr>
        <w:tblPrEx>
          <w:tblCellMar>
            <w:top w:w="89" w:type="dxa"/>
            <w:left w:w="106" w:type="dxa"/>
            <w:bottom w:w="0" w:type="dxa"/>
            <w:right w:w="0" w:type="dxa"/>
          </w:tblCellMar>
        </w:tblPrEx>
        <w:trPr>
          <w:trHeight w:val="370" w:hRule="atLeast"/>
        </w:trPr>
        <w:tc>
          <w:tcPr>
            <w:tcW w:w="1884" w:type="dxa"/>
            <w:gridSpan w:val="2"/>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条款号</w:t>
            </w:r>
            <w:r>
              <w:rPr>
                <w:rFonts w:ascii="Times New Roman" w:hAnsi="Times New Roman" w:eastAsia="Times New Roman" w:cs="Times New Roman"/>
                <w:b/>
                <w:color w:val="000000"/>
              </w:rPr>
              <w:t xml:space="preserve"> </w:t>
            </w:r>
          </w:p>
        </w:tc>
        <w:tc>
          <w:tcPr>
            <w:tcW w:w="1945" w:type="dxa"/>
            <w:tcBorders>
              <w:top w:val="single" w:color="000000" w:sz="4" w:space="0"/>
              <w:left w:val="single" w:color="000000" w:sz="4" w:space="0"/>
              <w:bottom w:val="single" w:color="000000" w:sz="4" w:space="0"/>
              <w:right w:val="single" w:color="000000" w:sz="4" w:space="0"/>
            </w:tcBorders>
          </w:tcPr>
          <w:p>
            <w:pPr>
              <w:widowControl/>
              <w:spacing w:line="259" w:lineRule="auto"/>
              <w:ind w:right="110"/>
              <w:jc w:val="center"/>
              <w:rPr>
                <w:rFonts w:ascii="宋体" w:hAnsi="宋体" w:eastAsia="宋体" w:cs="宋体"/>
                <w:color w:val="000000"/>
              </w:rPr>
            </w:pPr>
            <w:r>
              <w:rPr>
                <w:rFonts w:ascii="宋体" w:hAnsi="宋体" w:eastAsia="宋体" w:cs="宋体"/>
                <w:color w:val="000000"/>
              </w:rPr>
              <w:t>条款内容</w:t>
            </w:r>
            <w:r>
              <w:rPr>
                <w:rFonts w:ascii="Times New Roman" w:hAnsi="Times New Roman" w:eastAsia="Times New Roman" w:cs="Times New Roman"/>
                <w:b/>
                <w:color w:val="000000"/>
              </w:rPr>
              <w:t xml:space="preserve"> </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ind w:right="108"/>
              <w:jc w:val="center"/>
              <w:rPr>
                <w:rFonts w:ascii="宋体" w:hAnsi="宋体" w:eastAsia="宋体" w:cs="宋体"/>
                <w:color w:val="000000"/>
              </w:rPr>
            </w:pPr>
            <w:r>
              <w:rPr>
                <w:rFonts w:ascii="宋体" w:hAnsi="宋体" w:eastAsia="宋体" w:cs="宋体"/>
                <w:color w:val="000000"/>
              </w:rPr>
              <w:t>编列内容</w:t>
            </w:r>
            <w:r>
              <w:rPr>
                <w:rFonts w:ascii="Times New Roman" w:hAnsi="Times New Roman" w:eastAsia="Times New Roman" w:cs="Times New Roman"/>
                <w:b/>
                <w:color w:val="000000"/>
              </w:rPr>
              <w:t xml:space="preserve"> </w:t>
            </w:r>
          </w:p>
        </w:tc>
      </w:tr>
      <w:tr>
        <w:tblPrEx>
          <w:tblCellMar>
            <w:top w:w="89" w:type="dxa"/>
            <w:left w:w="106" w:type="dxa"/>
            <w:bottom w:w="0" w:type="dxa"/>
            <w:right w:w="0" w:type="dxa"/>
          </w:tblCellMar>
        </w:tblPrEx>
        <w:trPr>
          <w:trHeight w:val="1090" w:hRule="atLeast"/>
        </w:trPr>
        <w:tc>
          <w:tcPr>
            <w:tcW w:w="18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2"/>
              <w:jc w:val="left"/>
              <w:rPr>
                <w:rFonts w:ascii="宋体" w:hAnsi="宋体" w:eastAsia="宋体" w:cs="宋体"/>
                <w:color w:val="000000"/>
              </w:rPr>
            </w:pPr>
            <w:r>
              <w:rPr>
                <w:rFonts w:ascii="宋体" w:hAnsi="宋体" w:eastAsia="宋体" w:cs="宋体"/>
                <w:color w:val="000000"/>
              </w:rPr>
              <w:t xml:space="preserve">2.3.1 </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spacing w:after="63" w:line="259" w:lineRule="auto"/>
              <w:ind w:left="1"/>
              <w:jc w:val="left"/>
              <w:rPr>
                <w:rFonts w:ascii="宋体" w:hAnsi="宋体" w:eastAsia="宋体" w:cs="宋体"/>
                <w:color w:val="000000"/>
              </w:rPr>
            </w:pPr>
            <w:r>
              <w:rPr>
                <w:rFonts w:ascii="宋体" w:hAnsi="宋体" w:eastAsia="宋体" w:cs="宋体"/>
                <w:color w:val="000000"/>
              </w:rPr>
              <w:t xml:space="preserve">分值构成 </w:t>
            </w:r>
          </w:p>
          <w:p>
            <w:pPr>
              <w:widowControl/>
              <w:spacing w:line="259" w:lineRule="auto"/>
              <w:ind w:left="1"/>
              <w:jc w:val="left"/>
              <w:rPr>
                <w:rFonts w:ascii="宋体" w:hAnsi="宋体" w:eastAsia="宋体" w:cs="宋体"/>
                <w:color w:val="000000"/>
              </w:rPr>
            </w:pPr>
            <w:r>
              <w:rPr>
                <w:rFonts w:ascii="宋体" w:hAnsi="宋体" w:eastAsia="宋体" w:cs="宋体"/>
                <w:color w:val="000000"/>
              </w:rPr>
              <w:t xml:space="preserve">(总分100分) </w:t>
            </w:r>
          </w:p>
        </w:tc>
        <w:tc>
          <w:tcPr>
            <w:tcW w:w="4875" w:type="dxa"/>
            <w:tcBorders>
              <w:top w:val="single" w:color="000000" w:sz="4" w:space="0"/>
              <w:left w:val="single" w:color="000000" w:sz="4" w:space="0"/>
              <w:bottom w:val="single" w:color="000000" w:sz="4" w:space="0"/>
              <w:right w:val="single" w:color="000000" w:sz="4" w:space="0"/>
            </w:tcBorders>
          </w:tcPr>
          <w:p>
            <w:pPr>
              <w:widowControl/>
              <w:numPr>
                <w:ilvl w:val="0"/>
                <w:numId w:val="2"/>
              </w:numPr>
              <w:spacing w:after="86" w:line="259" w:lineRule="auto"/>
              <w:ind w:hanging="276"/>
              <w:jc w:val="left"/>
              <w:rPr>
                <w:rFonts w:ascii="宋体" w:hAnsi="宋体" w:eastAsia="宋体" w:cs="宋体"/>
                <w:color w:val="000000"/>
              </w:rPr>
            </w:pPr>
            <w:r>
              <w:rPr>
                <w:rFonts w:hint="eastAsia" w:ascii="宋体" w:hAnsi="宋体" w:eastAsia="宋体" w:cs="宋体"/>
                <w:color w:val="000000"/>
              </w:rPr>
              <w:t>投标报价</w:t>
            </w:r>
            <w:r>
              <w:rPr>
                <w:rFonts w:ascii="宋体" w:hAnsi="宋体" w:eastAsia="宋体" w:cs="宋体"/>
                <w:color w:val="000000"/>
              </w:rPr>
              <w:t>：</w:t>
            </w:r>
            <w:r>
              <w:rPr>
                <w:rFonts w:hint="eastAsia" w:ascii="宋体" w:hAnsi="宋体" w:eastAsia="宋体" w:cs="宋体"/>
                <w:color w:val="000000"/>
                <w:lang w:val="en-US" w:eastAsia="zh-CN"/>
              </w:rPr>
              <w:t>6</w:t>
            </w:r>
            <w:r>
              <w:rPr>
                <w:rFonts w:hint="eastAsia" w:ascii="宋体" w:hAnsi="宋体" w:eastAsia="宋体" w:cs="宋体"/>
                <w:color w:val="000000"/>
              </w:rPr>
              <w:t>5</w:t>
            </w:r>
            <w:r>
              <w:rPr>
                <w:rFonts w:ascii="宋体" w:hAnsi="宋体" w:eastAsia="宋体" w:cs="宋体"/>
                <w:color w:val="000000"/>
              </w:rPr>
              <w:t xml:space="preserve">分 </w:t>
            </w:r>
          </w:p>
          <w:p>
            <w:pPr>
              <w:widowControl/>
              <w:numPr>
                <w:ilvl w:val="0"/>
                <w:numId w:val="2"/>
              </w:numPr>
              <w:spacing w:after="85" w:line="259" w:lineRule="auto"/>
              <w:ind w:hanging="276"/>
              <w:jc w:val="left"/>
              <w:rPr>
                <w:rFonts w:ascii="宋体" w:hAnsi="宋体" w:eastAsia="宋体" w:cs="宋体"/>
                <w:color w:val="000000"/>
              </w:rPr>
            </w:pPr>
            <w:r>
              <w:rPr>
                <w:rFonts w:hint="eastAsia" w:ascii="宋体" w:hAnsi="宋体" w:eastAsia="宋体" w:cs="宋体"/>
                <w:color w:val="000000"/>
              </w:rPr>
              <w:t>项目</w:t>
            </w:r>
            <w:r>
              <w:rPr>
                <w:rFonts w:ascii="宋体" w:hAnsi="宋体" w:eastAsia="宋体" w:cs="宋体"/>
                <w:color w:val="000000"/>
              </w:rPr>
              <w:t>实施</w:t>
            </w:r>
            <w:r>
              <w:rPr>
                <w:rFonts w:hint="eastAsia" w:ascii="宋体" w:hAnsi="宋体" w:eastAsia="宋体" w:cs="宋体"/>
                <w:color w:val="000000"/>
              </w:rPr>
              <w:t>方案</w:t>
            </w:r>
            <w:r>
              <w:rPr>
                <w:rFonts w:ascii="宋体" w:hAnsi="宋体" w:eastAsia="宋体" w:cs="宋体"/>
                <w:color w:val="000000"/>
              </w:rPr>
              <w:t>：</w:t>
            </w:r>
            <w:r>
              <w:rPr>
                <w:rFonts w:hint="eastAsia" w:ascii="宋体" w:hAnsi="宋体" w:eastAsia="宋体" w:cs="宋体"/>
                <w:color w:val="000000"/>
                <w:lang w:val="en-US" w:eastAsia="zh-CN"/>
              </w:rPr>
              <w:t>2</w:t>
            </w:r>
            <w:r>
              <w:rPr>
                <w:rFonts w:hint="eastAsia" w:ascii="宋体" w:hAnsi="宋体" w:eastAsia="宋体" w:cs="宋体"/>
                <w:color w:val="000000"/>
              </w:rPr>
              <w:t>0</w:t>
            </w:r>
            <w:r>
              <w:rPr>
                <w:rFonts w:ascii="宋体" w:hAnsi="宋体" w:eastAsia="宋体" w:cs="宋体"/>
                <w:color w:val="000000"/>
              </w:rPr>
              <w:t xml:space="preserve">分 </w:t>
            </w:r>
          </w:p>
          <w:p>
            <w:pPr>
              <w:widowControl/>
              <w:numPr>
                <w:ilvl w:val="0"/>
                <w:numId w:val="2"/>
              </w:numPr>
              <w:spacing w:after="92" w:line="259" w:lineRule="auto"/>
              <w:ind w:hanging="276"/>
              <w:jc w:val="left"/>
              <w:rPr>
                <w:rFonts w:ascii="宋体" w:hAnsi="宋体" w:eastAsia="宋体" w:cs="宋体"/>
                <w:color w:val="000000"/>
              </w:rPr>
            </w:pPr>
            <w:r>
              <w:rPr>
                <w:rFonts w:hint="eastAsia" w:ascii="宋体" w:hAnsi="宋体" w:eastAsia="宋体" w:cs="宋体"/>
                <w:color w:val="000000"/>
              </w:rPr>
              <w:t>业绩：</w:t>
            </w:r>
            <w:r>
              <w:rPr>
                <w:rFonts w:hint="eastAsia" w:ascii="宋体" w:hAnsi="宋体" w:eastAsia="宋体" w:cs="宋体"/>
                <w:color w:val="000000"/>
                <w:lang w:val="en-US" w:eastAsia="zh-CN"/>
              </w:rPr>
              <w:t>1</w:t>
            </w:r>
            <w:r>
              <w:rPr>
                <w:rFonts w:hint="eastAsia" w:ascii="宋体" w:hAnsi="宋体" w:eastAsia="宋体" w:cs="宋体"/>
                <w:color w:val="000000"/>
              </w:rPr>
              <w:t>5分</w:t>
            </w:r>
          </w:p>
          <w:p>
            <w:pPr>
              <w:widowControl/>
              <w:spacing w:line="259" w:lineRule="auto"/>
              <w:jc w:val="left"/>
              <w:rPr>
                <w:rFonts w:ascii="宋体" w:hAnsi="宋体" w:eastAsia="宋体" w:cs="宋体"/>
                <w:color w:val="000000"/>
              </w:rPr>
            </w:pPr>
          </w:p>
        </w:tc>
      </w:tr>
      <w:tr>
        <w:tblPrEx>
          <w:tblCellMar>
            <w:top w:w="89" w:type="dxa"/>
            <w:left w:w="106" w:type="dxa"/>
            <w:bottom w:w="0" w:type="dxa"/>
            <w:right w:w="0" w:type="dxa"/>
          </w:tblCellMar>
        </w:tblPrEx>
        <w:trPr>
          <w:trHeight w:val="1757" w:hRule="atLeast"/>
        </w:trPr>
        <w:tc>
          <w:tcPr>
            <w:tcW w:w="18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2"/>
              <w:jc w:val="left"/>
              <w:rPr>
                <w:rFonts w:ascii="宋体" w:hAnsi="宋体" w:eastAsia="宋体" w:cs="宋体"/>
                <w:color w:val="000000"/>
              </w:rPr>
            </w:pPr>
            <w:r>
              <w:rPr>
                <w:rFonts w:ascii="宋体" w:hAnsi="宋体" w:eastAsia="宋体" w:cs="宋体"/>
                <w:color w:val="000000"/>
              </w:rPr>
              <w:t xml:space="preserve">2.3.2 </w:t>
            </w:r>
          </w:p>
        </w:tc>
        <w:tc>
          <w:tcPr>
            <w:tcW w:w="1945" w:type="dxa"/>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1"/>
              <w:jc w:val="left"/>
              <w:rPr>
                <w:rFonts w:ascii="宋体" w:hAnsi="宋体" w:eastAsia="宋体" w:cs="宋体"/>
                <w:color w:val="000000"/>
              </w:rPr>
            </w:pPr>
            <w:r>
              <w:rPr>
                <w:rFonts w:ascii="宋体" w:hAnsi="宋体" w:eastAsia="宋体" w:cs="宋体"/>
                <w:color w:val="000000"/>
              </w:rPr>
              <w:t xml:space="preserve">评标基准价计算方法 </w:t>
            </w:r>
          </w:p>
        </w:tc>
        <w:tc>
          <w:tcPr>
            <w:tcW w:w="48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400" w:lineRule="exact"/>
              <w:ind w:firstLine="480"/>
              <w:rPr>
                <w:rFonts w:ascii="宋体" w:hAnsi="宋体" w:eastAsia="宋体" w:cs="宋体"/>
                <w:b/>
                <w:color w:val="000000"/>
              </w:rPr>
            </w:pPr>
            <w:r>
              <w:rPr>
                <w:rFonts w:ascii="宋体" w:hAnsi="宋体" w:eastAsia="宋体" w:cs="宋体"/>
                <w:b/>
                <w:color w:val="000000"/>
              </w:rPr>
              <w:t xml:space="preserve">以有效投标文件的投标报价的最低值为评标基准价。 </w:t>
            </w:r>
          </w:p>
          <w:p>
            <w:pPr>
              <w:autoSpaceDE w:val="0"/>
              <w:autoSpaceDN w:val="0"/>
              <w:adjustRightInd w:val="0"/>
              <w:spacing w:line="400" w:lineRule="exact"/>
              <w:ind w:firstLine="480"/>
              <w:rPr>
                <w:rFonts w:ascii="宋体" w:hAnsi="宋体" w:eastAsia="宋体" w:cs="宋体"/>
                <w:color w:val="000000"/>
              </w:rPr>
            </w:pPr>
            <w:r>
              <w:rPr>
                <w:rFonts w:ascii="宋体" w:hAnsi="宋体" w:eastAsia="宋体" w:cs="宋体"/>
                <w:color w:val="000000"/>
              </w:rPr>
              <w:t xml:space="preserve">说明： </w:t>
            </w:r>
          </w:p>
          <w:p>
            <w:pPr>
              <w:autoSpaceDE w:val="0"/>
              <w:autoSpaceDN w:val="0"/>
              <w:adjustRightInd w:val="0"/>
              <w:spacing w:line="400" w:lineRule="exact"/>
              <w:ind w:firstLine="480"/>
              <w:rPr>
                <w:rFonts w:ascii="宋体" w:hAnsi="宋体" w:eastAsia="宋体" w:cs="宋体"/>
                <w:color w:val="000000"/>
              </w:rPr>
            </w:pPr>
            <w:r>
              <w:rPr>
                <w:rFonts w:ascii="宋体" w:hAnsi="宋体" w:eastAsia="宋体" w:cs="宋体"/>
                <w:color w:val="000000"/>
              </w:rPr>
              <w:t>1.投标报价指经澄清、补正和修正算术计算错误的 报价；</w:t>
            </w:r>
          </w:p>
          <w:p>
            <w:pPr>
              <w:autoSpaceDE w:val="0"/>
              <w:autoSpaceDN w:val="0"/>
              <w:adjustRightInd w:val="0"/>
              <w:spacing w:line="400" w:lineRule="exact"/>
              <w:ind w:firstLine="480"/>
              <w:rPr>
                <w:rFonts w:ascii="宋体" w:hAnsi="宋体" w:eastAsia="宋体" w:cs="宋体"/>
                <w:color w:val="000000"/>
              </w:rPr>
            </w:pPr>
            <w:r>
              <w:rPr>
                <w:rFonts w:ascii="宋体" w:hAnsi="宋体" w:eastAsia="宋体" w:cs="宋体"/>
                <w:color w:val="000000"/>
              </w:rPr>
              <w:t xml:space="preserve"> 2.有效投标文件是指未被评标委员会判定为无效标的投标文件。</w:t>
            </w:r>
          </w:p>
        </w:tc>
      </w:tr>
      <w:tr>
        <w:tblPrEx>
          <w:tblCellMar>
            <w:top w:w="89" w:type="dxa"/>
            <w:left w:w="106" w:type="dxa"/>
            <w:bottom w:w="0" w:type="dxa"/>
            <w:right w:w="0" w:type="dxa"/>
          </w:tblCellMar>
        </w:tblPrEx>
        <w:trPr>
          <w:trHeight w:val="73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widowControl/>
              <w:spacing w:after="64" w:line="259" w:lineRule="auto"/>
              <w:ind w:left="2"/>
              <w:jc w:val="left"/>
              <w:rPr>
                <w:rFonts w:ascii="宋体" w:hAnsi="宋体" w:eastAsia="宋体" w:cs="宋体"/>
                <w:color w:val="000000"/>
              </w:rPr>
            </w:pPr>
            <w:r>
              <w:rPr>
                <w:rFonts w:ascii="宋体" w:hAnsi="宋体" w:eastAsia="宋体" w:cs="宋体"/>
                <w:color w:val="000000"/>
              </w:rPr>
              <w:t>2.3.3</w:t>
            </w:r>
          </w:p>
        </w:tc>
        <w:tc>
          <w:tcPr>
            <w:tcW w:w="29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1"/>
              <w:jc w:val="center"/>
              <w:rPr>
                <w:rFonts w:ascii="宋体" w:hAnsi="宋体" w:eastAsia="宋体" w:cs="宋体"/>
                <w:color w:val="000000"/>
              </w:rPr>
            </w:pPr>
            <w:r>
              <w:rPr>
                <w:rFonts w:ascii="宋体" w:hAnsi="宋体" w:eastAsia="宋体" w:cs="宋体"/>
                <w:color w:val="000000"/>
              </w:rPr>
              <w:t>项目实施方案（</w:t>
            </w:r>
            <w:r>
              <w:rPr>
                <w:rFonts w:hint="eastAsia" w:ascii="宋体" w:hAnsi="宋体" w:eastAsia="宋体" w:cs="宋体"/>
                <w:color w:val="000000"/>
                <w:lang w:val="en-US" w:eastAsia="zh-CN"/>
              </w:rPr>
              <w:t>20</w:t>
            </w:r>
            <w:r>
              <w:rPr>
                <w:rFonts w:ascii="宋体" w:hAnsi="宋体" w:eastAsia="宋体" w:cs="宋体"/>
                <w:color w:val="000000"/>
              </w:rPr>
              <w:t>分）</w:t>
            </w:r>
          </w:p>
        </w:tc>
        <w:tc>
          <w:tcPr>
            <w:tcW w:w="4875"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pacing w:after="92" w:line="248" w:lineRule="auto"/>
              <w:jc w:val="left"/>
              <w:rPr>
                <w:rFonts w:ascii="宋体" w:hAnsi="宋体" w:eastAsia="宋体" w:cs="宋体"/>
                <w:color w:val="000000"/>
                <w:kern w:val="0"/>
                <w:szCs w:val="21"/>
                <w:lang w:bidi="ar"/>
              </w:rPr>
            </w:pPr>
            <w:r>
              <w:rPr>
                <w:rFonts w:hint="eastAsia" w:ascii="宋体" w:hAnsi="宋体" w:eastAsia="宋体" w:cs="宋体"/>
                <w:color w:val="000000"/>
              </w:rPr>
              <w:t>评标小组对投标人的施工方案进行评审：能及时响应投标人的要求进行施工，以及对项目的质量承诺等进行横向比较，优者得（</w:t>
            </w:r>
            <w:r>
              <w:rPr>
                <w:rFonts w:hint="eastAsia" w:ascii="宋体" w:hAnsi="宋体" w:eastAsia="宋体" w:cs="宋体"/>
                <w:color w:val="000000"/>
                <w:lang w:val="en-US" w:eastAsia="zh-CN"/>
              </w:rPr>
              <w:t>16</w:t>
            </w:r>
            <w:r>
              <w:rPr>
                <w:rFonts w:hint="eastAsia" w:ascii="宋体" w:hAnsi="宋体" w:eastAsia="宋体" w:cs="宋体"/>
                <w:color w:val="000000"/>
              </w:rPr>
              <w:t>-</w:t>
            </w:r>
            <w:r>
              <w:rPr>
                <w:rFonts w:hint="eastAsia" w:ascii="宋体" w:hAnsi="宋体" w:eastAsia="宋体" w:cs="宋体"/>
                <w:color w:val="000000"/>
                <w:lang w:val="en-US" w:eastAsia="zh-CN"/>
              </w:rPr>
              <w:t>2</w:t>
            </w:r>
            <w:r>
              <w:rPr>
                <w:rFonts w:hint="eastAsia" w:ascii="宋体" w:hAnsi="宋体" w:eastAsia="宋体" w:cs="宋体"/>
                <w:color w:val="000000"/>
              </w:rPr>
              <w:t>0）分，中等的得（</w:t>
            </w:r>
            <w:r>
              <w:rPr>
                <w:rFonts w:hint="eastAsia" w:ascii="宋体" w:hAnsi="宋体" w:eastAsia="宋体" w:cs="宋体"/>
                <w:color w:val="000000"/>
                <w:lang w:val="en-US" w:eastAsia="zh-CN"/>
              </w:rPr>
              <w:t>11</w:t>
            </w:r>
            <w:r>
              <w:rPr>
                <w:rFonts w:hint="eastAsia" w:ascii="宋体" w:hAnsi="宋体" w:eastAsia="宋体" w:cs="宋体"/>
                <w:color w:val="000000"/>
              </w:rPr>
              <w:t>-</w:t>
            </w:r>
            <w:r>
              <w:rPr>
                <w:rFonts w:hint="eastAsia" w:ascii="宋体" w:hAnsi="宋体" w:eastAsia="宋体" w:cs="宋体"/>
                <w:color w:val="000000"/>
                <w:lang w:val="en-US" w:eastAsia="zh-CN"/>
              </w:rPr>
              <w:t>15</w:t>
            </w:r>
            <w:r>
              <w:rPr>
                <w:rFonts w:hint="eastAsia" w:ascii="宋体" w:hAnsi="宋体" w:eastAsia="宋体" w:cs="宋体"/>
                <w:color w:val="000000"/>
              </w:rPr>
              <w:t>）分，无方案或者方案较差的得（0-</w:t>
            </w:r>
            <w:r>
              <w:rPr>
                <w:rFonts w:hint="eastAsia" w:ascii="宋体" w:hAnsi="宋体" w:eastAsia="宋体" w:cs="宋体"/>
                <w:color w:val="000000"/>
                <w:lang w:val="en-US" w:eastAsia="zh-CN"/>
              </w:rPr>
              <w:t>10</w:t>
            </w:r>
            <w:r>
              <w:rPr>
                <w:rFonts w:hint="eastAsia" w:ascii="宋体" w:hAnsi="宋体" w:eastAsia="宋体" w:cs="宋体"/>
                <w:color w:val="000000"/>
              </w:rPr>
              <w:t>）分。</w:t>
            </w:r>
          </w:p>
        </w:tc>
      </w:tr>
      <w:tr>
        <w:tblPrEx>
          <w:tblCellMar>
            <w:top w:w="89" w:type="dxa"/>
            <w:left w:w="106" w:type="dxa"/>
            <w:bottom w:w="0" w:type="dxa"/>
            <w:right w:w="0" w:type="dxa"/>
          </w:tblCellMar>
        </w:tblPrEx>
        <w:trPr>
          <w:trHeight w:val="730"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widowControl/>
              <w:spacing w:after="64" w:line="259" w:lineRule="auto"/>
              <w:ind w:left="2"/>
              <w:jc w:val="left"/>
              <w:rPr>
                <w:rFonts w:ascii="宋体" w:hAnsi="宋体" w:eastAsia="宋体" w:cs="宋体"/>
                <w:color w:val="000000"/>
              </w:rPr>
            </w:pPr>
          </w:p>
        </w:tc>
        <w:tc>
          <w:tcPr>
            <w:tcW w:w="29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1"/>
              <w:jc w:val="center"/>
              <w:rPr>
                <w:rFonts w:ascii="宋体" w:hAnsi="宋体" w:eastAsia="宋体" w:cs="宋体"/>
                <w:color w:val="000000"/>
              </w:rPr>
            </w:pPr>
            <w:r>
              <w:rPr>
                <w:rFonts w:hint="eastAsia" w:ascii="宋体" w:hAnsi="宋体" w:eastAsia="宋体" w:cs="宋体"/>
                <w:color w:val="000000"/>
              </w:rPr>
              <w:t>业绩（</w:t>
            </w:r>
            <w:r>
              <w:rPr>
                <w:rFonts w:hint="eastAsia" w:ascii="宋体" w:hAnsi="宋体" w:eastAsia="宋体" w:cs="宋体"/>
                <w:color w:val="000000"/>
                <w:lang w:val="en-US" w:eastAsia="zh-CN"/>
              </w:rPr>
              <w:t>1</w:t>
            </w:r>
            <w:r>
              <w:rPr>
                <w:rFonts w:hint="eastAsia" w:ascii="宋体" w:hAnsi="宋体" w:eastAsia="宋体" w:cs="宋体"/>
                <w:color w:val="000000"/>
              </w:rPr>
              <w:t>5分）</w:t>
            </w:r>
          </w:p>
        </w:tc>
        <w:tc>
          <w:tcPr>
            <w:tcW w:w="4875" w:type="dxa"/>
            <w:tcBorders>
              <w:top w:val="single" w:color="000000" w:sz="4" w:space="0"/>
              <w:left w:val="single" w:color="000000" w:sz="4" w:space="0"/>
              <w:bottom w:val="single" w:color="000000" w:sz="4" w:space="0"/>
              <w:right w:val="single" w:color="000000" w:sz="4" w:space="0"/>
            </w:tcBorders>
          </w:tcPr>
          <w:p>
            <w:pPr>
              <w:widowControl/>
              <w:autoSpaceDE w:val="0"/>
              <w:autoSpaceDN w:val="0"/>
              <w:adjustRightInd w:val="0"/>
              <w:spacing w:after="92" w:line="248" w:lineRule="auto"/>
              <w:ind w:left="10" w:hanging="10"/>
              <w:jc w:val="left"/>
              <w:rPr>
                <w:rFonts w:ascii="宋体" w:hAnsi="宋体" w:eastAsia="宋体" w:cs="宋体"/>
                <w:color w:val="000000"/>
                <w:kern w:val="0"/>
                <w:szCs w:val="21"/>
                <w:lang w:bidi="ar"/>
              </w:rPr>
            </w:pPr>
            <w:r>
              <w:rPr>
                <w:rFonts w:hint="eastAsia" w:ascii="宋体" w:hAnsi="宋体" w:eastAsia="宋体" w:cs="宋体"/>
                <w:color w:val="000000"/>
              </w:rPr>
              <w:t>投标人提供2019年元月至今具类似本项目的业绩，每个得</w:t>
            </w:r>
            <w:r>
              <w:rPr>
                <w:rFonts w:hint="eastAsia" w:ascii="宋体" w:hAnsi="宋体" w:eastAsia="宋体" w:cs="宋体"/>
                <w:color w:val="000000"/>
                <w:lang w:val="en-US" w:eastAsia="zh-CN"/>
              </w:rPr>
              <w:t>5</w:t>
            </w:r>
            <w:r>
              <w:rPr>
                <w:rFonts w:hint="eastAsia" w:ascii="宋体" w:hAnsi="宋体" w:eastAsia="宋体" w:cs="宋体"/>
                <w:color w:val="000000"/>
              </w:rPr>
              <w:t>分，最高得分</w:t>
            </w:r>
            <w:r>
              <w:rPr>
                <w:rFonts w:hint="eastAsia" w:ascii="宋体" w:hAnsi="宋体" w:eastAsia="宋体" w:cs="宋体"/>
                <w:color w:val="000000"/>
                <w:lang w:val="en-US" w:eastAsia="zh-CN"/>
              </w:rPr>
              <w:t>1</w:t>
            </w:r>
            <w:r>
              <w:rPr>
                <w:rFonts w:hint="eastAsia" w:ascii="宋体" w:hAnsi="宋体" w:eastAsia="宋体" w:cs="宋体"/>
                <w:color w:val="000000"/>
              </w:rPr>
              <w:t>5分。须提供合同复印件加盖单位原始公章，否则不得分。</w:t>
            </w:r>
          </w:p>
        </w:tc>
      </w:tr>
      <w:tr>
        <w:tblPrEx>
          <w:tblCellMar>
            <w:top w:w="89" w:type="dxa"/>
            <w:left w:w="106" w:type="dxa"/>
            <w:bottom w:w="0" w:type="dxa"/>
            <w:right w:w="0" w:type="dxa"/>
          </w:tblCellMar>
        </w:tblPrEx>
        <w:trPr>
          <w:trHeight w:val="1247" w:hRule="atLeast"/>
        </w:trPr>
        <w:tc>
          <w:tcPr>
            <w:tcW w:w="864" w:type="dxa"/>
            <w:tcBorders>
              <w:top w:val="single" w:color="000000" w:sz="4" w:space="0"/>
              <w:left w:val="single" w:color="000000" w:sz="4" w:space="0"/>
              <w:bottom w:val="single" w:color="000000" w:sz="4" w:space="0"/>
              <w:right w:val="single" w:color="000000" w:sz="4" w:space="0"/>
            </w:tcBorders>
            <w:vAlign w:val="center"/>
          </w:tcPr>
          <w:p>
            <w:pPr>
              <w:widowControl/>
              <w:spacing w:after="64" w:line="259" w:lineRule="auto"/>
              <w:ind w:left="2"/>
              <w:jc w:val="left"/>
              <w:rPr>
                <w:rFonts w:ascii="宋体" w:hAnsi="宋体" w:eastAsia="宋体" w:cs="宋体"/>
                <w:color w:val="000000"/>
              </w:rPr>
            </w:pPr>
            <w:r>
              <w:rPr>
                <w:rFonts w:ascii="宋体" w:hAnsi="宋体" w:eastAsia="宋体" w:cs="宋体"/>
                <w:color w:val="000000"/>
              </w:rPr>
              <w:t xml:space="preserve">2.3.4  </w:t>
            </w:r>
          </w:p>
        </w:tc>
        <w:tc>
          <w:tcPr>
            <w:tcW w:w="296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59" w:lineRule="auto"/>
              <w:ind w:left="1"/>
              <w:jc w:val="center"/>
              <w:rPr>
                <w:rFonts w:ascii="宋体" w:hAnsi="宋体" w:eastAsia="宋体" w:cs="宋体"/>
                <w:color w:val="000000"/>
              </w:rPr>
            </w:pPr>
            <w:r>
              <w:rPr>
                <w:rFonts w:ascii="宋体" w:hAnsi="宋体" w:eastAsia="宋体" w:cs="宋体"/>
                <w:color w:val="000000"/>
              </w:rPr>
              <w:t>投标报价（</w:t>
            </w:r>
            <w:r>
              <w:rPr>
                <w:rFonts w:hint="eastAsia" w:ascii="宋体" w:hAnsi="宋体" w:eastAsia="宋体" w:cs="宋体"/>
                <w:color w:val="000000"/>
                <w:lang w:val="en-US" w:eastAsia="zh-CN"/>
              </w:rPr>
              <w:t>6</w:t>
            </w:r>
            <w:r>
              <w:rPr>
                <w:rFonts w:hint="eastAsia" w:ascii="宋体" w:hAnsi="宋体" w:eastAsia="宋体" w:cs="宋体"/>
                <w:color w:val="000000"/>
              </w:rPr>
              <w:t>5</w:t>
            </w:r>
            <w:r>
              <w:rPr>
                <w:rFonts w:ascii="宋体" w:hAnsi="宋体" w:eastAsia="宋体" w:cs="宋体"/>
                <w:color w:val="000000"/>
              </w:rPr>
              <w:t>分）</w:t>
            </w:r>
          </w:p>
        </w:tc>
        <w:tc>
          <w:tcPr>
            <w:tcW w:w="4875" w:type="dxa"/>
            <w:tcBorders>
              <w:top w:val="single" w:color="000000" w:sz="4" w:space="0"/>
              <w:left w:val="single" w:color="000000" w:sz="4" w:space="0"/>
              <w:bottom w:val="single" w:color="000000" w:sz="4" w:space="0"/>
              <w:right w:val="single" w:color="000000" w:sz="4" w:space="0"/>
            </w:tcBorders>
          </w:tcPr>
          <w:p>
            <w:pPr>
              <w:widowControl/>
              <w:spacing w:line="259" w:lineRule="auto"/>
              <w:jc w:val="left"/>
              <w:rPr>
                <w:rFonts w:ascii="宋体" w:hAnsi="宋体" w:eastAsia="宋体" w:cs="宋体"/>
                <w:color w:val="000000"/>
              </w:rPr>
            </w:pPr>
            <w:r>
              <w:rPr>
                <w:rFonts w:ascii="宋体" w:hAnsi="宋体" w:eastAsia="宋体" w:cs="宋体"/>
                <w:color w:val="000000"/>
              </w:rPr>
              <w:t>当有效投标人投标报价等于评标基准价时，得满分，有效投标人投标报价与评标基准价相比，每高出1% 扣</w:t>
            </w:r>
            <w:r>
              <w:rPr>
                <w:rFonts w:hint="eastAsia" w:ascii="宋体" w:hAnsi="宋体" w:eastAsia="宋体" w:cs="宋体"/>
                <w:color w:val="000000"/>
                <w:lang w:val="en-US" w:eastAsia="zh-CN"/>
              </w:rPr>
              <w:t>1</w:t>
            </w:r>
            <w:r>
              <w:rPr>
                <w:rFonts w:ascii="宋体" w:hAnsi="宋体" w:eastAsia="宋体" w:cs="宋体"/>
                <w:color w:val="000000"/>
              </w:rPr>
              <w:t>分，每低出1%扣0</w:t>
            </w:r>
            <w:r>
              <w:rPr>
                <w:rFonts w:hint="eastAsia" w:ascii="宋体" w:hAnsi="宋体" w:eastAsia="宋体" w:cs="宋体"/>
                <w:color w:val="000000"/>
                <w:lang w:val="en-US" w:eastAsia="zh-CN"/>
              </w:rPr>
              <w:t>.5</w:t>
            </w:r>
            <w:r>
              <w:rPr>
                <w:rFonts w:ascii="宋体" w:hAnsi="宋体" w:eastAsia="宋体" w:cs="宋体"/>
                <w:color w:val="000000"/>
              </w:rPr>
              <w:t xml:space="preserve"> 分，不足1%的，按照插入法计算得分（保留四位小数）。 </w:t>
            </w:r>
          </w:p>
        </w:tc>
      </w:tr>
    </w:tbl>
    <w:p>
      <w:pPr>
        <w:pStyle w:val="66"/>
        <w:ind w:firstLine="0" w:firstLineChars="0"/>
        <w:rPr>
          <w:rFonts w:asciiTheme="minorHAnsi" w:hAnsiTheme="minorEastAsia"/>
          <w:sz w:val="18"/>
          <w:szCs w:val="18"/>
          <w:lang w:val="en-US"/>
        </w:rPr>
      </w:pPr>
    </w:p>
    <w:p>
      <w:pPr>
        <w:pStyle w:val="66"/>
        <w:ind w:firstLine="0" w:firstLineChars="0"/>
        <w:rPr>
          <w:rFonts w:asciiTheme="minorEastAsia" w:hAnsiTheme="minorEastAsia"/>
          <w:sz w:val="18"/>
          <w:szCs w:val="18"/>
        </w:rPr>
      </w:pPr>
    </w:p>
    <w:p>
      <w:pPr>
        <w:pStyle w:val="66"/>
        <w:ind w:firstLine="360"/>
        <w:rPr>
          <w:rFonts w:asciiTheme="minorEastAsia" w:hAnsiTheme="minorEastAsia"/>
          <w:sz w:val="18"/>
          <w:szCs w:val="18"/>
        </w:rPr>
      </w:pPr>
    </w:p>
    <w:p>
      <w:pPr>
        <w:spacing w:before="156" w:beforeLines="50" w:line="240" w:lineRule="exact"/>
        <w:rPr>
          <w:rFonts w:hAnsi="宋体" w:eastAsia="宋体" w:cs="宋体"/>
          <w:b/>
          <w:szCs w:val="21"/>
        </w:rPr>
      </w:pPr>
      <w:r>
        <w:rPr>
          <w:rFonts w:hint="eastAsia" w:hAnsi="宋体" w:eastAsia="宋体" w:cs="宋体"/>
          <w:b/>
          <w:szCs w:val="21"/>
        </w:rPr>
        <w:t>1.评标方法</w:t>
      </w:r>
    </w:p>
    <w:p>
      <w:pPr>
        <w:spacing w:line="400" w:lineRule="exact"/>
        <w:ind w:firstLine="420" w:firstLineChars="200"/>
        <w:rPr>
          <w:rFonts w:hAnsi="宋体" w:eastAsia="宋体" w:cs="宋体"/>
          <w:szCs w:val="21"/>
        </w:rPr>
      </w:pPr>
      <w:r>
        <w:rPr>
          <w:rFonts w:hint="eastAsia" w:hAnsi="宋体" w:eastAsia="宋体" w:cs="宋体"/>
          <w:szCs w:val="21"/>
        </w:rPr>
        <w:t>1.1 本次评标，采用综合评分法。</w:t>
      </w:r>
    </w:p>
    <w:p>
      <w:pPr>
        <w:spacing w:line="400" w:lineRule="exact"/>
        <w:ind w:firstLine="420" w:firstLineChars="200"/>
        <w:rPr>
          <w:rFonts w:hAnsi="宋体" w:eastAsia="宋体" w:cs="宋体"/>
          <w:szCs w:val="21"/>
        </w:rPr>
      </w:pPr>
      <w:r>
        <w:rPr>
          <w:rFonts w:hAnsi="宋体" w:eastAsia="宋体" w:cs="宋体"/>
          <w:szCs w:val="21"/>
        </w:rPr>
        <w:t xml:space="preserve">评标委员会依次按照评标入围、初步评审、详细评审的顺序进行评审，对入围且满足招标文件实质性要求的投标文件，按照本章第2.3 款规定的评分标准进行打分，并按得分由高到低顺序推荐中标候选人，或根据招标人授权直接确定中标人，但投标报价低于其成本的除外。得分相等时，以投标报价低的优先；投标报价也相等的，由招标人自行确定。 </w:t>
      </w:r>
    </w:p>
    <w:p>
      <w:pPr>
        <w:spacing w:line="400" w:lineRule="exact"/>
        <w:ind w:firstLine="420" w:firstLineChars="200"/>
        <w:rPr>
          <w:rFonts w:hAnsi="宋体" w:eastAsia="宋体" w:cs="宋体"/>
          <w:szCs w:val="21"/>
        </w:rPr>
      </w:pPr>
      <w:r>
        <w:rPr>
          <w:rFonts w:hint="eastAsia" w:hAnsi="宋体" w:eastAsia="宋体" w:cs="宋体"/>
          <w:szCs w:val="21"/>
        </w:rPr>
        <w:t>1.2本办法未尽事宜，由评标委员会依据有关规定研究解决并具有最终解释权。</w:t>
      </w:r>
    </w:p>
    <w:p>
      <w:pPr>
        <w:ind w:right="113"/>
        <w:rPr>
          <w:rFonts w:hAnsi="宋体" w:eastAsia="宋体" w:cs="宋体"/>
          <w:color w:val="000000"/>
        </w:rPr>
      </w:pPr>
    </w:p>
    <w:p>
      <w:pPr>
        <w:pStyle w:val="331"/>
        <w:rPr>
          <w:rFonts w:asciiTheme="minorHAnsi"/>
        </w:rPr>
      </w:pPr>
      <w:r>
        <w:rPr>
          <w:rFonts w:hint="eastAsia" w:asciiTheme="minorHAnsi"/>
          <w:highlight w:val="white"/>
        </w:rPr>
        <w:t>2. 评审标准</w:t>
      </w:r>
    </w:p>
    <w:p>
      <w:pPr>
        <w:pStyle w:val="258"/>
        <w:rPr>
          <w:rFonts w:hAnsi="宋体" w:cs="宋体" w:asciiTheme="minorHAnsi"/>
          <w:szCs w:val="21"/>
        </w:rPr>
      </w:pPr>
      <w:r>
        <w:rPr>
          <w:rFonts w:hint="eastAsia" w:hAnsi="宋体" w:cs="宋体" w:asciiTheme="minorHAnsi"/>
          <w:szCs w:val="21"/>
        </w:rPr>
        <w:t>2.1 初步评审标准</w:t>
      </w:r>
    </w:p>
    <w:p>
      <w:pPr>
        <w:spacing w:line="400" w:lineRule="exact"/>
        <w:ind w:firstLine="420" w:firstLineChars="200"/>
        <w:rPr>
          <w:rFonts w:hAnsi="宋体" w:eastAsia="宋体" w:cs="宋体"/>
          <w:szCs w:val="21"/>
        </w:rPr>
      </w:pPr>
      <w:r>
        <w:rPr>
          <w:rFonts w:hint="eastAsia" w:hAnsi="宋体" w:eastAsia="宋体" w:cs="宋体"/>
          <w:szCs w:val="21"/>
        </w:rPr>
        <w:t>2.1.1 形式评审标准：见评标办法前附表。</w:t>
      </w:r>
    </w:p>
    <w:p>
      <w:pPr>
        <w:spacing w:line="400" w:lineRule="exact"/>
        <w:ind w:firstLine="420" w:firstLineChars="200"/>
        <w:rPr>
          <w:rFonts w:hAnsi="宋体" w:eastAsia="宋体" w:cs="宋体"/>
          <w:szCs w:val="21"/>
        </w:rPr>
      </w:pPr>
      <w:r>
        <w:rPr>
          <w:rFonts w:hint="eastAsia" w:hAnsi="宋体" w:eastAsia="宋体" w:cs="宋体"/>
          <w:szCs w:val="21"/>
        </w:rPr>
        <w:t>2.1.2 资格评审标准：见评标办法前附表。</w:t>
      </w:r>
    </w:p>
    <w:p>
      <w:pPr>
        <w:spacing w:line="400" w:lineRule="exact"/>
        <w:ind w:firstLine="420" w:firstLineChars="200"/>
        <w:rPr>
          <w:rFonts w:hAnsi="宋体" w:eastAsia="宋体" w:cs="宋体"/>
          <w:szCs w:val="21"/>
        </w:rPr>
      </w:pPr>
      <w:r>
        <w:rPr>
          <w:rFonts w:hint="eastAsia" w:hAnsi="宋体" w:eastAsia="宋体" w:cs="宋体"/>
          <w:szCs w:val="21"/>
        </w:rPr>
        <w:t>2.1.3 响应性评审标准：见评标办法前附表。</w:t>
      </w:r>
    </w:p>
    <w:p>
      <w:pPr>
        <w:spacing w:line="400" w:lineRule="exact"/>
        <w:ind w:firstLine="420" w:firstLineChars="200"/>
        <w:rPr>
          <w:rFonts w:hAnsi="宋体" w:eastAsia="宋体" w:cs="宋体"/>
          <w:szCs w:val="21"/>
        </w:rPr>
      </w:pPr>
      <w:r>
        <w:rPr>
          <w:rFonts w:hint="eastAsia" w:hAnsi="宋体" w:eastAsia="宋体" w:cs="宋体"/>
          <w:szCs w:val="21"/>
        </w:rPr>
        <w:t>3. 评标程序</w:t>
      </w:r>
    </w:p>
    <w:p>
      <w:pPr>
        <w:pStyle w:val="258"/>
        <w:rPr>
          <w:rFonts w:hAnsi="宋体" w:cs="宋体" w:asciiTheme="minorHAnsi"/>
          <w:szCs w:val="21"/>
        </w:rPr>
      </w:pPr>
      <w:r>
        <w:rPr>
          <w:rFonts w:hint="eastAsia"/>
          <w:highlight w:val="white"/>
        </w:rPr>
        <w:t>3.</w:t>
      </w:r>
      <w:r>
        <w:rPr>
          <w:rFonts w:hint="eastAsia" w:hAnsi="宋体" w:cs="宋体" w:asciiTheme="minorHAnsi"/>
          <w:szCs w:val="21"/>
        </w:rPr>
        <w:t>1 评标准备</w:t>
      </w:r>
    </w:p>
    <w:p>
      <w:pPr>
        <w:spacing w:line="400" w:lineRule="exact"/>
        <w:ind w:firstLine="420" w:firstLineChars="200"/>
        <w:rPr>
          <w:rFonts w:hAnsi="宋体" w:eastAsia="宋体" w:cs="宋体"/>
          <w:szCs w:val="21"/>
        </w:rPr>
      </w:pPr>
      <w:r>
        <w:rPr>
          <w:rFonts w:hint="eastAsia" w:hAnsi="宋体" w:eastAsia="宋体" w:cs="宋体"/>
          <w:szCs w:val="21"/>
        </w:rPr>
        <w:t>3.1.1评标由招标人依法组建的招投标小组负责.招投标小组负责人由招投标小组成员推举产生。招投标小组成员应遵守有关法律、法规、规章，遵守评标纪律和其他有关评标规定。</w:t>
      </w:r>
    </w:p>
    <w:p>
      <w:pPr>
        <w:spacing w:line="400" w:lineRule="exact"/>
        <w:ind w:firstLine="420" w:firstLineChars="200"/>
        <w:rPr>
          <w:rFonts w:hAnsi="宋体" w:eastAsia="宋体" w:cs="宋体"/>
          <w:szCs w:val="21"/>
        </w:rPr>
      </w:pPr>
      <w:r>
        <w:rPr>
          <w:rFonts w:hint="eastAsia" w:hAnsi="宋体" w:eastAsia="宋体" w:cs="宋体"/>
          <w:szCs w:val="21"/>
        </w:rPr>
        <w:t>3.1.2招标人（或招标代理人）应向招投标小组提供下列资料供评标使用：</w:t>
      </w:r>
    </w:p>
    <w:p>
      <w:pPr>
        <w:spacing w:line="400" w:lineRule="exact"/>
        <w:ind w:firstLine="420" w:firstLineChars="200"/>
        <w:rPr>
          <w:rFonts w:hAnsi="宋体" w:eastAsia="宋体" w:cs="宋体"/>
          <w:szCs w:val="21"/>
        </w:rPr>
      </w:pPr>
      <w:r>
        <w:rPr>
          <w:rFonts w:hint="eastAsia" w:hAnsi="宋体" w:eastAsia="宋体" w:cs="宋体"/>
          <w:szCs w:val="21"/>
        </w:rPr>
        <w:t>⑴ 经备案的招标文件、包括补遗文件、答疑会纪要、工程量清单等；</w:t>
      </w:r>
    </w:p>
    <w:p>
      <w:pPr>
        <w:spacing w:line="400" w:lineRule="exact"/>
        <w:ind w:firstLine="420" w:firstLineChars="200"/>
        <w:rPr>
          <w:rFonts w:hAnsi="宋体" w:eastAsia="宋体" w:cs="宋体"/>
          <w:szCs w:val="21"/>
        </w:rPr>
      </w:pPr>
      <w:r>
        <w:rPr>
          <w:rFonts w:hint="eastAsia" w:hAnsi="宋体" w:eastAsia="宋体" w:cs="宋体"/>
          <w:szCs w:val="21"/>
        </w:rPr>
        <w:t>⑵ 供评标使用的主要施工图纸、地质勘查报告等工程技术资料；</w:t>
      </w:r>
    </w:p>
    <w:p>
      <w:pPr>
        <w:spacing w:line="400" w:lineRule="exact"/>
        <w:ind w:firstLine="420" w:firstLineChars="200"/>
        <w:rPr>
          <w:rFonts w:hAnsi="宋体" w:eastAsia="宋体" w:cs="宋体"/>
          <w:szCs w:val="21"/>
        </w:rPr>
      </w:pPr>
      <w:r>
        <w:rPr>
          <w:rFonts w:hint="eastAsia" w:hAnsi="宋体" w:eastAsia="宋体" w:cs="宋体"/>
          <w:szCs w:val="21"/>
        </w:rPr>
        <w:t>⑶ 工程概况和评标重点的书面介绍、包括工程规模、结构形式、工程特点、技术要求、施工重点和难点、施工采用的新方法新工艺和新材料、招标文件与示范文本有较大变动的条款及评标办法等。</w:t>
      </w:r>
    </w:p>
    <w:p>
      <w:pPr>
        <w:spacing w:line="400" w:lineRule="exact"/>
        <w:ind w:firstLine="420" w:firstLineChars="200"/>
        <w:rPr>
          <w:rFonts w:hAnsi="宋体" w:eastAsia="宋体" w:cs="宋体"/>
          <w:szCs w:val="21"/>
        </w:rPr>
      </w:pPr>
      <w:r>
        <w:rPr>
          <w:rFonts w:hint="eastAsia" w:hAnsi="宋体" w:eastAsia="宋体" w:cs="宋体"/>
          <w:szCs w:val="21"/>
        </w:rPr>
        <w:t>3.1.3招投标小组应当认真研究招标文件，为满足评标需要。对招标文件中存在的问题的处理应由招投标小组成员讨论决定。招投标小组可以要求招标人对招标文件的内容作出澄清、说明，但澄清、说明不得改变招标文件的实质性内容。</w:t>
      </w:r>
    </w:p>
    <w:p>
      <w:pPr>
        <w:pStyle w:val="258"/>
        <w:rPr>
          <w:rFonts w:hAnsi="宋体" w:cs="宋体" w:asciiTheme="minorHAnsi"/>
          <w:b w:val="0"/>
          <w:bCs w:val="0"/>
          <w:szCs w:val="21"/>
        </w:rPr>
      </w:pPr>
      <w:r>
        <w:rPr>
          <w:rFonts w:hint="eastAsia" w:hAnsi="宋体" w:cs="宋体" w:asciiTheme="minorHAnsi"/>
          <w:b w:val="0"/>
          <w:bCs w:val="0"/>
          <w:szCs w:val="21"/>
        </w:rPr>
        <w:t>3.2初步评审</w:t>
      </w:r>
    </w:p>
    <w:p>
      <w:pPr>
        <w:spacing w:line="400" w:lineRule="exact"/>
        <w:ind w:firstLine="420" w:firstLineChars="200"/>
        <w:rPr>
          <w:rFonts w:hAnsi="宋体" w:eastAsia="宋体" w:cs="宋体"/>
          <w:szCs w:val="21"/>
        </w:rPr>
      </w:pPr>
      <w:r>
        <w:rPr>
          <w:rFonts w:hint="eastAsia" w:hAnsi="宋体" w:eastAsia="宋体" w:cs="宋体"/>
          <w:szCs w:val="21"/>
        </w:rPr>
        <w:t>3.2.1 招投标小组依据本章第2.1项规定的标准对投标文件进行初步评审。有一项不符合评审标准的，作无效投标文件处理。</w:t>
      </w:r>
    </w:p>
    <w:p>
      <w:pPr>
        <w:spacing w:line="400" w:lineRule="exact"/>
        <w:ind w:firstLine="420" w:firstLineChars="200"/>
        <w:rPr>
          <w:rFonts w:hAnsi="宋体" w:eastAsia="宋体" w:cs="宋体"/>
          <w:szCs w:val="21"/>
        </w:rPr>
      </w:pPr>
      <w:r>
        <w:rPr>
          <w:rFonts w:hint="eastAsia" w:hAnsi="宋体" w:eastAsia="宋体" w:cs="宋体"/>
          <w:szCs w:val="21"/>
        </w:rPr>
        <w:t>3.2.2  投标人有以下情形之一的，其投标作无效投标文件处理：</w:t>
      </w:r>
    </w:p>
    <w:p>
      <w:pPr>
        <w:spacing w:line="400" w:lineRule="exact"/>
        <w:ind w:firstLine="420" w:firstLineChars="200"/>
        <w:rPr>
          <w:rFonts w:hAnsi="宋体" w:eastAsia="宋体" w:cs="宋体"/>
          <w:szCs w:val="21"/>
        </w:rPr>
      </w:pPr>
      <w:r>
        <w:rPr>
          <w:rFonts w:hint="eastAsia" w:hAnsi="宋体" w:eastAsia="宋体" w:cs="宋体"/>
          <w:szCs w:val="21"/>
        </w:rPr>
        <w:t>（1）第二章“投标人须知”第 1.4.2 项规定的任何一种情形的；</w:t>
      </w:r>
    </w:p>
    <w:p>
      <w:pPr>
        <w:spacing w:line="400" w:lineRule="exact"/>
        <w:ind w:firstLine="420" w:firstLineChars="200"/>
        <w:rPr>
          <w:rFonts w:hAnsi="宋体" w:eastAsia="宋体" w:cs="宋体"/>
          <w:szCs w:val="21"/>
        </w:rPr>
      </w:pPr>
      <w:r>
        <w:rPr>
          <w:rFonts w:hint="eastAsia" w:hAnsi="宋体" w:eastAsia="宋体" w:cs="宋体"/>
          <w:szCs w:val="21"/>
        </w:rPr>
        <w:t>（2）串通投标或弄虚作假或有其他违法行为的；</w:t>
      </w:r>
    </w:p>
    <w:p>
      <w:pPr>
        <w:spacing w:line="400" w:lineRule="exact"/>
        <w:ind w:firstLine="420" w:firstLineChars="200"/>
        <w:rPr>
          <w:rFonts w:hAnsi="宋体" w:eastAsia="宋体" w:cs="宋体"/>
          <w:szCs w:val="21"/>
        </w:rPr>
      </w:pPr>
      <w:r>
        <w:rPr>
          <w:rFonts w:hint="eastAsia" w:hAnsi="宋体" w:eastAsia="宋体" w:cs="宋体"/>
          <w:szCs w:val="21"/>
        </w:rPr>
        <w:t>（3）不按招投标小组要求澄清、说明或补正的；</w:t>
      </w:r>
    </w:p>
    <w:p>
      <w:pPr>
        <w:pStyle w:val="258"/>
      </w:pPr>
      <w:r>
        <w:rPr>
          <w:rFonts w:hint="eastAsia"/>
          <w:highlight w:val="white"/>
        </w:rPr>
        <w:t>3.3  详细评审</w:t>
      </w:r>
    </w:p>
    <w:p>
      <w:pPr>
        <w:spacing w:line="400" w:lineRule="exact"/>
        <w:ind w:firstLine="420" w:firstLineChars="200"/>
        <w:rPr>
          <w:rFonts w:hAnsi="宋体" w:eastAsia="宋体" w:cs="宋体"/>
          <w:szCs w:val="21"/>
        </w:rPr>
      </w:pPr>
      <w:r>
        <w:rPr>
          <w:rFonts w:hint="eastAsia" w:hAnsi="宋体" w:eastAsia="宋体" w:cs="宋体"/>
          <w:szCs w:val="21"/>
        </w:rPr>
        <w:t>3.3.1 招投标小组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招投标小组认定该投标人以低于成本报价竞标，其投标无效投标文件处理。</w:t>
      </w:r>
    </w:p>
    <w:p>
      <w:pPr>
        <w:spacing w:line="400" w:lineRule="exact"/>
        <w:ind w:firstLine="420" w:firstLineChars="200"/>
        <w:rPr>
          <w:rFonts w:hAnsi="宋体" w:eastAsia="宋体" w:cs="宋体"/>
          <w:szCs w:val="21"/>
        </w:rPr>
      </w:pPr>
      <w:r>
        <w:rPr>
          <w:rFonts w:hint="eastAsia" w:hAnsi="宋体" w:eastAsia="宋体" w:cs="宋体"/>
          <w:szCs w:val="21"/>
        </w:rPr>
        <w:t>3.3.2评标过程中，若评标委员依据招标文件的规定作出无效标或废标决定后，有效投标不足3个的，招投标小组应视投标情况，作出以下评标结论：</w:t>
      </w:r>
    </w:p>
    <w:p>
      <w:pPr>
        <w:spacing w:line="400" w:lineRule="exact"/>
        <w:ind w:firstLine="420" w:firstLineChars="200"/>
        <w:rPr>
          <w:rFonts w:hAnsi="宋体" w:eastAsia="宋体" w:cs="宋体"/>
          <w:szCs w:val="21"/>
        </w:rPr>
      </w:pPr>
      <w:r>
        <w:rPr>
          <w:rFonts w:hint="eastAsia" w:hAnsi="宋体" w:eastAsia="宋体" w:cs="宋体"/>
          <w:szCs w:val="21"/>
        </w:rPr>
        <w:t>⑴ 认为投标仍具有竞争力，推荐中标候选人；</w:t>
      </w:r>
    </w:p>
    <w:p>
      <w:pPr>
        <w:spacing w:line="400" w:lineRule="exact"/>
        <w:ind w:firstLine="420" w:firstLineChars="200"/>
        <w:rPr>
          <w:rFonts w:hAnsi="宋体" w:eastAsia="宋体" w:cs="宋体"/>
          <w:szCs w:val="21"/>
        </w:rPr>
      </w:pPr>
      <w:r>
        <w:rPr>
          <w:rFonts w:hint="eastAsia" w:hAnsi="宋体" w:eastAsia="宋体" w:cs="宋体"/>
          <w:szCs w:val="21"/>
        </w:rPr>
        <w:t>⑵ 认为投标缺乏竞争力，或者根据本文件认定为围标串标的，否决所有投标，建议招标人重新组织招标。</w:t>
      </w:r>
    </w:p>
    <w:p>
      <w:pPr>
        <w:pStyle w:val="258"/>
      </w:pPr>
      <w:r>
        <w:rPr>
          <w:rFonts w:hint="eastAsia"/>
          <w:highlight w:val="white"/>
        </w:rPr>
        <w:t>3.4 投标文件的澄清和补正</w:t>
      </w:r>
    </w:p>
    <w:p>
      <w:pPr>
        <w:spacing w:line="400" w:lineRule="exact"/>
        <w:ind w:firstLine="420" w:firstLineChars="200"/>
        <w:rPr>
          <w:rFonts w:hAnsi="宋体" w:eastAsia="宋体" w:cs="宋体"/>
          <w:szCs w:val="21"/>
        </w:rPr>
      </w:pPr>
      <w:r>
        <w:rPr>
          <w:rFonts w:hint="eastAsia" w:hAnsi="宋体" w:eastAsia="宋体" w:cs="宋体"/>
          <w:szCs w:val="21"/>
        </w:rPr>
        <w:t>3.4.1在评标过程中，招投标小组可以书面形式要求投标人对所提交投标文件中不明确的内容进行书面澄清或说明，或者对细微偏差进行补正。招投标小组不接受投标人主动提出的澄清、说明或补正。</w:t>
      </w:r>
    </w:p>
    <w:p>
      <w:pPr>
        <w:spacing w:line="400" w:lineRule="exact"/>
        <w:ind w:firstLine="420" w:firstLineChars="200"/>
        <w:rPr>
          <w:rFonts w:hAnsi="宋体" w:eastAsia="宋体" w:cs="宋体"/>
          <w:szCs w:val="21"/>
        </w:rPr>
      </w:pPr>
      <w:r>
        <w:rPr>
          <w:rFonts w:hint="eastAsia" w:hAnsi="宋体" w:eastAsia="宋体" w:cs="宋体"/>
          <w:szCs w:val="21"/>
        </w:rPr>
        <w:t>3.4.2 澄清、说明和补正不得改变投标文件的实质性内容（算术性错误修正的除外）。投标人的书面澄清、说明和补正属于投标文件的组成部分。</w:t>
      </w:r>
    </w:p>
    <w:p>
      <w:pPr>
        <w:spacing w:line="400" w:lineRule="exact"/>
        <w:ind w:firstLine="420" w:firstLineChars="200"/>
        <w:rPr>
          <w:rFonts w:hAnsi="宋体" w:eastAsia="宋体" w:cs="宋体"/>
          <w:szCs w:val="21"/>
        </w:rPr>
      </w:pPr>
      <w:r>
        <w:rPr>
          <w:rFonts w:hint="eastAsia" w:hAnsi="宋体" w:eastAsia="宋体" w:cs="宋体"/>
          <w:szCs w:val="21"/>
        </w:rPr>
        <w:t>3.4.3 招投标小组对投标人提交的澄清、说明或补正有疑问的，可以要求投标人进一步澄清、说明或补正，直至满足招投标小组的要求。</w:t>
      </w:r>
    </w:p>
    <w:p>
      <w:pPr>
        <w:spacing w:line="400" w:lineRule="exact"/>
        <w:ind w:firstLine="420" w:firstLineChars="200"/>
        <w:rPr>
          <w:rFonts w:hAnsi="宋体" w:eastAsia="宋体" w:cs="宋体"/>
          <w:szCs w:val="21"/>
        </w:rPr>
      </w:pPr>
      <w:r>
        <w:rPr>
          <w:rFonts w:hint="eastAsia" w:hAnsi="宋体" w:eastAsia="宋体" w:cs="宋体"/>
          <w:szCs w:val="21"/>
        </w:rPr>
        <w:t>3.4.4 凡超出招标文件规定的或给发包人带来未曾要求的利益的变化、偏差或其他因素在评标时不予考虑。</w:t>
      </w:r>
    </w:p>
    <w:p>
      <w:pPr>
        <w:spacing w:line="400" w:lineRule="exact"/>
        <w:ind w:firstLine="420" w:firstLineChars="200"/>
        <w:rPr>
          <w:rFonts w:hAnsi="宋体" w:eastAsia="宋体" w:cs="宋体"/>
          <w:szCs w:val="21"/>
        </w:rPr>
      </w:pPr>
      <w:r>
        <w:rPr>
          <w:rFonts w:hint="eastAsia" w:hAnsi="宋体" w:eastAsia="宋体" w:cs="宋体"/>
          <w:szCs w:val="21"/>
        </w:rPr>
        <w:t>3.4.5有下列情形之一的，有下列情形之一的，视为投标人相互串通投标：</w:t>
      </w:r>
    </w:p>
    <w:p>
      <w:pPr>
        <w:spacing w:line="400" w:lineRule="exact"/>
        <w:ind w:firstLine="420" w:firstLineChars="200"/>
        <w:rPr>
          <w:rFonts w:hAnsi="宋体" w:eastAsia="宋体" w:cs="宋体"/>
          <w:szCs w:val="21"/>
        </w:rPr>
      </w:pPr>
      <w:r>
        <w:rPr>
          <w:rFonts w:hint="eastAsia" w:hAnsi="宋体" w:eastAsia="宋体" w:cs="宋体"/>
          <w:szCs w:val="21"/>
        </w:rPr>
        <w:t>⑴ 不同投标人的投标文件内容存在非常一致的；</w:t>
      </w:r>
    </w:p>
    <w:p>
      <w:pPr>
        <w:spacing w:line="400" w:lineRule="exact"/>
        <w:ind w:firstLine="420" w:firstLineChars="200"/>
        <w:rPr>
          <w:rFonts w:hAnsi="宋体" w:eastAsia="宋体" w:cs="宋体"/>
          <w:szCs w:val="21"/>
        </w:rPr>
      </w:pPr>
      <w:r>
        <w:rPr>
          <w:rFonts w:hint="eastAsia" w:hAnsi="宋体" w:eastAsia="宋体" w:cs="宋体"/>
          <w:szCs w:val="21"/>
        </w:rPr>
        <w:t>⑵ 不同投标人的投标文件错漏之处一致的；</w:t>
      </w:r>
    </w:p>
    <w:p>
      <w:pPr>
        <w:spacing w:line="400" w:lineRule="exact"/>
        <w:ind w:firstLine="420" w:firstLineChars="200"/>
        <w:rPr>
          <w:rFonts w:hAnsi="宋体" w:eastAsia="宋体" w:cs="宋体"/>
          <w:szCs w:val="21"/>
        </w:rPr>
      </w:pPr>
      <w:r>
        <w:rPr>
          <w:rFonts w:hint="eastAsia" w:hAnsi="宋体" w:eastAsia="宋体" w:cs="宋体"/>
          <w:szCs w:val="21"/>
        </w:rPr>
        <w:t>⑶ 不同投标人的投标文件由同一单位或者同一个人编制的；</w:t>
      </w:r>
    </w:p>
    <w:p>
      <w:pPr>
        <w:spacing w:line="400" w:lineRule="exact"/>
        <w:ind w:firstLine="420" w:firstLineChars="200"/>
        <w:rPr>
          <w:rFonts w:hAnsi="宋体" w:eastAsia="宋体" w:cs="宋体"/>
          <w:szCs w:val="21"/>
        </w:rPr>
      </w:pPr>
      <w:r>
        <w:rPr>
          <w:rFonts w:hint="eastAsia" w:hAnsi="宋体" w:eastAsia="宋体" w:cs="宋体"/>
          <w:szCs w:val="21"/>
        </w:rPr>
        <w:t>⑷ 不同投标人的投标报价或报价组成异常一致或者呈规律性变化的；</w:t>
      </w:r>
    </w:p>
    <w:p>
      <w:pPr>
        <w:spacing w:line="400" w:lineRule="exact"/>
        <w:ind w:firstLine="420" w:firstLineChars="200"/>
        <w:rPr>
          <w:rFonts w:hAnsi="宋体" w:eastAsia="宋体" w:cs="宋体"/>
          <w:szCs w:val="21"/>
        </w:rPr>
      </w:pPr>
      <w:r>
        <w:rPr>
          <w:rFonts w:hint="eastAsia" w:hAnsi="宋体" w:eastAsia="宋体" w:cs="宋体"/>
          <w:szCs w:val="21"/>
        </w:rPr>
        <w:t>⑸ 不同投标人的投标文件载明的项目管理班子成员出现同一人的；</w:t>
      </w:r>
    </w:p>
    <w:p>
      <w:pPr>
        <w:spacing w:line="400" w:lineRule="exact"/>
        <w:ind w:firstLine="420" w:firstLineChars="200"/>
        <w:rPr>
          <w:rFonts w:hAnsi="宋体" w:eastAsia="宋体" w:cs="宋体"/>
          <w:szCs w:val="21"/>
        </w:rPr>
      </w:pPr>
      <w:r>
        <w:rPr>
          <w:rFonts w:hint="eastAsia" w:hAnsi="宋体" w:eastAsia="宋体" w:cs="宋体"/>
          <w:szCs w:val="21"/>
        </w:rPr>
        <w:t>⑹ 不同投标人的投标文件相互混装的；</w:t>
      </w:r>
    </w:p>
    <w:p>
      <w:pPr>
        <w:spacing w:line="400" w:lineRule="exact"/>
        <w:ind w:firstLine="420" w:firstLineChars="200"/>
        <w:rPr>
          <w:rFonts w:hAnsi="宋体" w:eastAsia="宋体" w:cs="宋体"/>
          <w:szCs w:val="21"/>
        </w:rPr>
      </w:pPr>
      <w:r>
        <w:rPr>
          <w:rFonts w:hint="eastAsia" w:hAnsi="宋体" w:eastAsia="宋体" w:cs="宋体"/>
          <w:szCs w:val="21"/>
        </w:rPr>
        <w:t>⑺ 不同投标人的投标文件由同一台电脑编制或者同一台附属设备打印的；</w:t>
      </w:r>
    </w:p>
    <w:p>
      <w:pPr>
        <w:spacing w:line="400" w:lineRule="exact"/>
        <w:ind w:firstLine="420" w:firstLineChars="200"/>
        <w:rPr>
          <w:rFonts w:hAnsi="宋体" w:eastAsia="宋体" w:cs="宋体"/>
          <w:szCs w:val="21"/>
        </w:rPr>
      </w:pPr>
      <w:r>
        <w:rPr>
          <w:rFonts w:hint="eastAsia" w:hAnsi="宋体" w:eastAsia="宋体" w:cs="宋体"/>
          <w:szCs w:val="21"/>
        </w:rPr>
        <w:t>⑻ 不同投标人委托同一单位或者个人办理投标事宜；</w:t>
      </w:r>
    </w:p>
    <w:p>
      <w:pPr>
        <w:spacing w:line="400" w:lineRule="exact"/>
        <w:ind w:firstLine="420" w:firstLineChars="200"/>
        <w:rPr>
          <w:rFonts w:hAnsi="宋体" w:eastAsia="宋体" w:cs="宋体"/>
          <w:szCs w:val="21"/>
        </w:rPr>
      </w:pPr>
      <w:r>
        <w:rPr>
          <w:rFonts w:hint="eastAsia" w:hAnsi="宋体" w:eastAsia="宋体" w:cs="宋体"/>
          <w:szCs w:val="21"/>
        </w:rPr>
        <w:t>⑼ 不同投标人使用同一个人或者企业资金交纳投标保证金的；</w:t>
      </w:r>
    </w:p>
    <w:p>
      <w:pPr>
        <w:spacing w:line="400" w:lineRule="exact"/>
        <w:ind w:firstLine="420" w:firstLineChars="200"/>
        <w:rPr>
          <w:rFonts w:hAnsi="宋体" w:eastAsia="宋体" w:cs="宋体"/>
          <w:szCs w:val="21"/>
        </w:rPr>
      </w:pPr>
      <w:r>
        <w:rPr>
          <w:rFonts w:hint="eastAsia" w:hAnsi="宋体" w:eastAsia="宋体" w:cs="宋体"/>
          <w:szCs w:val="21"/>
        </w:rPr>
        <w:t>⑽ 不同投标人的投标文件制作机器码相同或者投标文件创建标识码相同的；</w:t>
      </w:r>
    </w:p>
    <w:p>
      <w:pPr>
        <w:spacing w:line="400" w:lineRule="exact"/>
        <w:ind w:firstLine="420" w:firstLineChars="200"/>
        <w:rPr>
          <w:rFonts w:hAnsi="宋体" w:eastAsia="宋体" w:cs="宋体"/>
          <w:szCs w:val="21"/>
        </w:rPr>
      </w:pPr>
      <w:r>
        <w:rPr>
          <w:rFonts w:hint="eastAsia" w:hAnsi="宋体" w:eastAsia="宋体" w:cs="宋体"/>
          <w:szCs w:val="21"/>
        </w:rPr>
        <w:t>⑾不同投标人聘请同一个人为其投标提供技术或者经济咨询服务的，但招标工程本身要求专用专有技术的除外；</w:t>
      </w:r>
    </w:p>
    <w:p>
      <w:pPr>
        <w:spacing w:line="400" w:lineRule="exact"/>
        <w:ind w:firstLine="420" w:firstLineChars="200"/>
        <w:rPr>
          <w:rFonts w:hAnsi="宋体" w:eastAsia="宋体" w:cs="宋体"/>
          <w:szCs w:val="21"/>
        </w:rPr>
      </w:pPr>
      <w:r>
        <w:rPr>
          <w:rFonts w:hint="eastAsia" w:hAnsi="宋体" w:eastAsia="宋体" w:cs="宋体"/>
          <w:szCs w:val="21"/>
        </w:rPr>
        <w:fldChar w:fldCharType="begin"/>
      </w:r>
      <w:r>
        <w:rPr>
          <w:rFonts w:hint="eastAsia" w:hAnsi="宋体" w:eastAsia="宋体" w:cs="宋体"/>
          <w:szCs w:val="21"/>
        </w:rPr>
        <w:instrText xml:space="preserve"> = 12 \* GB2 \* MERGEFORMAT </w:instrText>
      </w:r>
      <w:r>
        <w:rPr>
          <w:rFonts w:hint="eastAsia" w:hAnsi="宋体" w:eastAsia="宋体" w:cs="宋体"/>
          <w:szCs w:val="21"/>
        </w:rPr>
        <w:fldChar w:fldCharType="separate"/>
      </w:r>
      <w:r>
        <w:rPr>
          <w:rFonts w:hint="eastAsia" w:hAnsi="宋体" w:eastAsia="宋体" w:cs="宋体"/>
          <w:szCs w:val="21"/>
        </w:rPr>
        <w:t>⑿</w:t>
      </w:r>
      <w:r>
        <w:rPr>
          <w:rFonts w:hint="eastAsia" w:hAnsi="宋体" w:eastAsia="宋体" w:cs="宋体"/>
          <w:szCs w:val="21"/>
        </w:rPr>
        <w:fldChar w:fldCharType="end"/>
      </w:r>
      <w:r>
        <w:rPr>
          <w:rFonts w:hint="eastAsia" w:hAnsi="宋体" w:eastAsia="宋体" w:cs="宋体"/>
          <w:szCs w:val="21"/>
        </w:rPr>
        <w:t>招投标小组认定的其他情形。</w:t>
      </w:r>
    </w:p>
    <w:p>
      <w:pPr>
        <w:pStyle w:val="258"/>
      </w:pPr>
      <w:r>
        <w:rPr>
          <w:rFonts w:hint="eastAsia"/>
          <w:highlight w:val="white"/>
        </w:rPr>
        <w:t>3.5  评标结果</w:t>
      </w:r>
    </w:p>
    <w:p>
      <w:pPr>
        <w:spacing w:line="400" w:lineRule="exact"/>
        <w:ind w:firstLine="420" w:firstLineChars="200"/>
        <w:rPr>
          <w:rFonts w:hAnsi="宋体" w:eastAsia="宋体" w:cs="宋体"/>
          <w:szCs w:val="21"/>
        </w:rPr>
      </w:pPr>
      <w:r>
        <w:rPr>
          <w:rFonts w:hint="eastAsia" w:hAnsi="宋体" w:eastAsia="宋体" w:cs="宋体"/>
          <w:szCs w:val="21"/>
        </w:rPr>
        <w:t>3.5.1除第二章“投标人须知”前附表授权直接确定中标人外，招投标小组按照综合得分由高到低的顺序推荐3名中标候选人，并标明排序。</w:t>
      </w:r>
    </w:p>
    <w:p>
      <w:pPr>
        <w:spacing w:line="400" w:lineRule="exact"/>
        <w:ind w:firstLine="420" w:firstLineChars="200"/>
        <w:rPr>
          <w:rFonts w:hAnsi="宋体" w:eastAsia="宋体" w:cs="宋体"/>
          <w:szCs w:val="21"/>
        </w:rPr>
      </w:pPr>
      <w:r>
        <w:rPr>
          <w:rFonts w:hint="eastAsia" w:hAnsi="宋体" w:eastAsia="宋体" w:cs="宋体"/>
          <w:szCs w:val="21"/>
        </w:rPr>
        <w:t>3.5.2 招投标小组完成评标后，应当向招标人提交书面评标报告。</w:t>
      </w:r>
    </w:p>
    <w:p>
      <w:pPr>
        <w:rPr>
          <w:rFonts w:ascii="宋体" w:hAnsi="宋体" w:eastAsia="宋体" w:cs="宋体"/>
          <w:highlight w:val="magenta"/>
        </w:rPr>
      </w:pPr>
      <w:r>
        <w:rPr>
          <w:rFonts w:hint="eastAsia" w:ascii="宋体" w:hAnsi="宋体" w:eastAsia="宋体" w:cs="宋体"/>
          <w:sz w:val="20"/>
          <w:highlight w:val="white"/>
        </w:rPr>
        <w:t xml:space="preserve"> </w:t>
      </w:r>
    </w:p>
    <w:p>
      <w:pPr>
        <w:rPr>
          <w:rFonts w:ascii="宋体" w:hAnsi="宋体" w:eastAsia="宋体" w:cs="宋体"/>
          <w:color w:val="000000"/>
        </w:rPr>
      </w:pPr>
      <w:r>
        <w:rPr>
          <w:rFonts w:hint="eastAsia" w:ascii="宋体" w:hAnsi="宋体" w:eastAsia="宋体" w:cs="宋体"/>
          <w:sz w:val="20"/>
          <w:highlight w:val="white"/>
        </w:rPr>
        <w:t xml:space="preserve"> </w:t>
      </w:r>
    </w:p>
    <w:bookmarkEnd w:id="244"/>
    <w:p>
      <w:pPr>
        <w:rPr>
          <w:rFonts w:ascii="宋体" w:hAnsi="宋体" w:cs="宋体"/>
          <w:b/>
          <w:bCs/>
          <w:color w:val="000000"/>
          <w:sz w:val="44"/>
          <w:szCs w:val="44"/>
        </w:rPr>
      </w:pPr>
      <w:bookmarkStart w:id="245" w:name="_Toc456684186"/>
      <w:bookmarkStart w:id="246" w:name="_Toc494527199"/>
      <w:bookmarkStart w:id="247" w:name="_Toc8644"/>
      <w:bookmarkStart w:id="248" w:name="_Toc12993"/>
      <w:bookmarkStart w:id="249" w:name="_Toc275703023"/>
      <w:r>
        <w:rPr>
          <w:rFonts w:hint="eastAsia" w:ascii="宋体" w:hAnsi="宋体" w:cs="宋体"/>
          <w:b/>
          <w:bCs/>
          <w:color w:val="000000"/>
          <w:sz w:val="44"/>
          <w:szCs w:val="44"/>
          <w:highlight w:val="white"/>
        </w:rPr>
        <w:t>第四章 合同条款及格</w:t>
      </w:r>
      <w:bookmarkEnd w:id="245"/>
      <w:bookmarkEnd w:id="246"/>
      <w:bookmarkEnd w:id="247"/>
      <w:bookmarkEnd w:id="248"/>
      <w:bookmarkStart w:id="250" w:name="EBe2ddece23e184ac1af900ae166e871e8"/>
    </w:p>
    <w:p>
      <w:pPr>
        <w:pStyle w:val="98"/>
        <w:spacing w:line="400" w:lineRule="exact"/>
        <w:ind w:firstLine="420" w:firstLineChars="200"/>
        <w:rPr>
          <w:rFonts w:ascii="宋体" w:hAnsi="宋体" w:cs="宋体"/>
          <w:b/>
          <w:bCs/>
          <w:color w:val="000000"/>
          <w:szCs w:val="21"/>
        </w:rPr>
      </w:pPr>
      <w:r>
        <w:rPr>
          <w:rFonts w:hint="eastAsia" w:ascii="宋体" w:hAnsi="宋体" w:cs="宋体"/>
          <w:color w:val="000000"/>
          <w:szCs w:val="21"/>
        </w:rPr>
        <w:t>参考《建设工程施工合同》（示范文本）（GF-2017-0201）及政府专用合同</w:t>
      </w:r>
    </w:p>
    <w:p>
      <w:pPr>
        <w:pStyle w:val="98"/>
        <w:jc w:val="center"/>
        <w:rPr>
          <w:rFonts w:ascii="宋体" w:hAnsi="宋体" w:cs="宋体"/>
          <w:color w:val="000000"/>
          <w:sz w:val="44"/>
          <w:szCs w:val="44"/>
        </w:rPr>
      </w:pPr>
    </w:p>
    <w:bookmarkEnd w:id="250"/>
    <w:p>
      <w:pPr>
        <w:rPr>
          <w:rFonts w:ascii="宋体" w:hAnsi="宋体" w:eastAsia="宋体" w:cs="宋体"/>
          <w:b/>
          <w:bCs/>
          <w:sz w:val="44"/>
          <w:szCs w:val="44"/>
        </w:rPr>
      </w:pPr>
      <w:bookmarkStart w:id="251" w:name="_Toc17845"/>
      <w:bookmarkStart w:id="252" w:name="_Toc494527200"/>
      <w:bookmarkStart w:id="253" w:name="_Toc14813"/>
      <w:bookmarkStart w:id="254" w:name="_Toc456684187"/>
      <w:r>
        <w:rPr>
          <w:rFonts w:hint="eastAsia" w:ascii="宋体" w:hAnsi="宋体" w:eastAsia="宋体" w:cs="宋体"/>
          <w:b/>
          <w:bCs/>
          <w:color w:val="000000"/>
          <w:sz w:val="44"/>
          <w:szCs w:val="44"/>
          <w:highlight w:val="white"/>
        </w:rPr>
        <w:t>第五章   工程量清单</w:t>
      </w:r>
      <w:bookmarkEnd w:id="249"/>
      <w:bookmarkEnd w:id="251"/>
      <w:bookmarkEnd w:id="252"/>
      <w:bookmarkEnd w:id="253"/>
      <w:bookmarkEnd w:id="254"/>
    </w:p>
    <w:p>
      <w:pPr>
        <w:textAlignment w:val="baseline"/>
        <w:rPr>
          <w:rFonts w:ascii="宋体" w:hAnsi="宋体" w:eastAsia="宋体" w:cs="宋体"/>
          <w:b/>
          <w:color w:val="000000"/>
          <w:sz w:val="36"/>
          <w:szCs w:val="36"/>
        </w:rPr>
      </w:pPr>
      <w:r>
        <w:rPr>
          <w:rFonts w:hint="eastAsia" w:ascii="宋体" w:hAnsi="宋体" w:eastAsia="宋体" w:cs="宋体"/>
          <w:color w:val="000000"/>
          <w:szCs w:val="21"/>
        </w:rPr>
        <w:t>详见附件</w:t>
      </w:r>
    </w:p>
    <w:p>
      <w:pPr>
        <w:pStyle w:val="4"/>
        <w:rPr>
          <w:rFonts w:ascii="宋体" w:hAnsi="宋体" w:cs="宋体"/>
          <w:b w:val="0"/>
          <w:color w:val="000000"/>
          <w:sz w:val="32"/>
          <w:szCs w:val="32"/>
        </w:rPr>
      </w:pPr>
      <w:bookmarkStart w:id="255" w:name="_Toc456684188"/>
      <w:bookmarkStart w:id="256" w:name="_Toc494527201"/>
      <w:bookmarkStart w:id="257" w:name="_Toc275703024"/>
      <w:bookmarkStart w:id="258" w:name="_Toc14003"/>
      <w:bookmarkStart w:id="259" w:name="_Toc16948"/>
      <w:r>
        <w:rPr>
          <w:rFonts w:hint="eastAsia" w:ascii="宋体" w:hAnsi="宋体" w:cs="宋体"/>
          <w:color w:val="000000"/>
          <w:highlight w:val="white"/>
        </w:rPr>
        <w:t>第六章</w:t>
      </w:r>
      <w:bookmarkEnd w:id="255"/>
      <w:bookmarkEnd w:id="256"/>
      <w:bookmarkEnd w:id="257"/>
      <w:bookmarkStart w:id="260" w:name="_Toc494527202"/>
      <w:bookmarkStart w:id="261" w:name="_Toc275703025"/>
      <w:bookmarkStart w:id="262" w:name="_Toc456684189"/>
      <w:bookmarkStart w:id="263" w:name="_Toc203303043"/>
      <w:bookmarkStart w:id="264" w:name="_Toc275703026"/>
      <w:r>
        <w:rPr>
          <w:rFonts w:hint="eastAsia" w:ascii="宋体" w:hAnsi="宋体" w:cs="宋体"/>
          <w:b w:val="0"/>
          <w:color w:val="000000"/>
          <w:sz w:val="32"/>
          <w:szCs w:val="32"/>
        </w:rPr>
        <w:t xml:space="preserve">   </w:t>
      </w:r>
      <w:r>
        <w:rPr>
          <w:rFonts w:hint="eastAsia" w:ascii="宋体" w:hAnsi="宋体" w:cs="宋体"/>
          <w:color w:val="000000"/>
          <w:highlight w:val="white"/>
        </w:rPr>
        <w:t>技术规范</w:t>
      </w:r>
      <w:bookmarkEnd w:id="258"/>
      <w:bookmarkEnd w:id="259"/>
      <w:bookmarkEnd w:id="260"/>
      <w:bookmarkEnd w:id="261"/>
      <w:bookmarkEnd w:id="262"/>
      <w:r>
        <w:rPr>
          <w:rFonts w:hint="eastAsia" w:ascii="宋体" w:hAnsi="宋体" w:cs="宋体"/>
          <w:color w:val="000000"/>
          <w:highlight w:val="white"/>
        </w:rPr>
        <w:t>及相关要求</w:t>
      </w:r>
    </w:p>
    <w:p>
      <w:pPr>
        <w:pStyle w:val="279"/>
        <w:ind w:firstLine="560" w:firstLineChars="200"/>
        <w:rPr>
          <w:rFonts w:ascii="宋体" w:hAnsi="宋体" w:cs="宋体"/>
          <w:color w:val="000000"/>
          <w:sz w:val="28"/>
          <w:szCs w:val="28"/>
        </w:rPr>
      </w:pPr>
      <w:bookmarkStart w:id="265" w:name="EBac123741557e46d3a88fb82e5e13feb4"/>
      <w:r>
        <w:rPr>
          <w:rFonts w:hint="eastAsia" w:ascii="宋体" w:hAnsi="宋体" w:cs="宋体"/>
          <w:color w:val="000000"/>
          <w:sz w:val="28"/>
          <w:szCs w:val="28"/>
        </w:rPr>
        <w:t>本章节由招标人根据国家行业和地方现行标准、规范和规程等，以及项目具体情况摘录。</w:t>
      </w:r>
    </w:p>
    <w:p>
      <w:pPr>
        <w:pStyle w:val="279"/>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拆除原堆场面层上10cm厚砼连锁块及5cm厚砂垫层，堆场平整并用800mm厚级配碎石找平。铺设200mm厚水泥稳定碎石层(水泥含量6%)后，重新铺设混凝土连锁块（利旧）</w:t>
      </w:r>
      <w:r>
        <w:rPr>
          <w:rFonts w:hint="eastAsia" w:ascii="宋体" w:hAnsi="宋体" w:cs="宋体"/>
          <w:color w:val="000000"/>
          <w:sz w:val="28"/>
          <w:szCs w:val="28"/>
          <w:lang w:eastAsia="zh-CN"/>
        </w:rPr>
        <w:t>。</w:t>
      </w:r>
    </w:p>
    <w:bookmarkEnd w:id="263"/>
    <w:bookmarkEnd w:id="264"/>
    <w:bookmarkEnd w:id="265"/>
    <w:p>
      <w:pPr>
        <w:jc w:val="right"/>
        <w:rPr>
          <w:rFonts w:ascii="宋体" w:hAnsi="宋体" w:eastAsia="宋体" w:cs="宋体"/>
          <w:color w:val="000000"/>
          <w:spacing w:val="30"/>
          <w:sz w:val="32"/>
        </w:rPr>
      </w:pPr>
    </w:p>
    <w:p>
      <w:pPr>
        <w:ind w:firstLine="8740" w:firstLineChars="2300"/>
        <w:rPr>
          <w:rFonts w:ascii="宋体" w:hAnsi="宋体" w:eastAsia="宋体" w:cs="宋体"/>
          <w:color w:val="000000"/>
          <w:spacing w:val="30"/>
          <w:sz w:val="32"/>
        </w:rPr>
      </w:pPr>
    </w:p>
    <w:p>
      <w:pPr>
        <w:pStyle w:val="66"/>
        <w:ind w:firstLine="420"/>
      </w:pPr>
    </w:p>
    <w:p>
      <w:pPr>
        <w:rPr>
          <w:rFonts w:ascii="宋体" w:hAnsi="宋体" w:eastAsia="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pStyle w:val="2"/>
        <w:rPr>
          <w:rFonts w:ascii="宋体" w:hAnsi="宋体" w:cs="宋体"/>
          <w:color w:val="000000"/>
          <w:spacing w:val="30"/>
          <w:sz w:val="32"/>
        </w:rPr>
      </w:pPr>
    </w:p>
    <w:p>
      <w:pPr>
        <w:pStyle w:val="2"/>
        <w:rPr>
          <w:rFonts w:hint="eastAsia" w:ascii="宋体" w:hAnsi="宋体" w:cs="宋体"/>
          <w:color w:val="000000"/>
          <w:spacing w:val="30"/>
          <w:sz w:val="32"/>
        </w:rPr>
      </w:pPr>
    </w:p>
    <w:p>
      <w:pPr>
        <w:pStyle w:val="2"/>
        <w:rPr>
          <w:rFonts w:hint="eastAsia" w:ascii="宋体" w:hAnsi="宋体" w:cs="宋体"/>
          <w:color w:val="000000"/>
          <w:spacing w:val="30"/>
          <w:sz w:val="32"/>
        </w:rPr>
      </w:pPr>
    </w:p>
    <w:p>
      <w:pPr>
        <w:pStyle w:val="2"/>
        <w:rPr>
          <w:rFonts w:ascii="宋体" w:hAnsi="宋体" w:cs="宋体"/>
          <w:color w:val="000000"/>
          <w:spacing w:val="30"/>
          <w:sz w:val="32"/>
        </w:rPr>
      </w:pPr>
    </w:p>
    <w:p>
      <w:pPr>
        <w:keepNext/>
        <w:keepLines/>
        <w:spacing w:before="340" w:after="330" w:line="576" w:lineRule="auto"/>
        <w:outlineLvl w:val="0"/>
        <w:rPr>
          <w:rFonts w:ascii="Calibri" w:hAnsi="Calibri" w:eastAsia="宋体" w:cs="Times New Roman"/>
          <w:b/>
          <w:kern w:val="44"/>
          <w:sz w:val="44"/>
          <w:szCs w:val="20"/>
        </w:rPr>
      </w:pPr>
      <w:bookmarkStart w:id="266" w:name="_Toc456684190"/>
      <w:bookmarkStart w:id="267" w:name="_Toc26805"/>
      <w:bookmarkStart w:id="268" w:name="_Toc494527203"/>
      <w:bookmarkStart w:id="269" w:name="_Toc1375"/>
      <w:r>
        <w:rPr>
          <w:rFonts w:hint="eastAsia" w:ascii="宋体" w:hAnsi="宋体" w:eastAsia="宋体" w:cs="宋体"/>
          <w:b/>
          <w:color w:val="000000"/>
          <w:kern w:val="44"/>
          <w:sz w:val="44"/>
          <w:szCs w:val="20"/>
          <w:highlight w:val="white"/>
        </w:rPr>
        <w:t>第七章</w:t>
      </w:r>
      <w:r>
        <w:rPr>
          <w:rFonts w:hint="eastAsia" w:ascii="宋体" w:hAnsi="宋体" w:eastAsia="宋体" w:cs="宋体"/>
          <w:color w:val="000000"/>
          <w:kern w:val="44"/>
          <w:sz w:val="32"/>
          <w:szCs w:val="32"/>
        </w:rPr>
        <w:t xml:space="preserve">   </w:t>
      </w:r>
      <w:r>
        <w:rPr>
          <w:rFonts w:hint="eastAsia" w:ascii="宋体" w:hAnsi="宋体" w:eastAsia="宋体" w:cs="宋体"/>
          <w:b/>
          <w:color w:val="000000"/>
          <w:kern w:val="44"/>
          <w:sz w:val="44"/>
          <w:szCs w:val="20"/>
          <w:highlight w:val="white"/>
        </w:rPr>
        <w:t>投标文件格式</w:t>
      </w:r>
      <w:bookmarkEnd w:id="266"/>
      <w:bookmarkEnd w:id="267"/>
      <w:bookmarkEnd w:id="268"/>
      <w:bookmarkEnd w:id="269"/>
    </w:p>
    <w:p>
      <w:pPr>
        <w:pStyle w:val="2"/>
        <w:rPr>
          <w:rFonts w:ascii="宋体" w:hAnsi="宋体" w:cs="宋体"/>
          <w:color w:val="000000"/>
          <w:spacing w:val="30"/>
          <w:sz w:val="32"/>
        </w:rPr>
      </w:pPr>
    </w:p>
    <w:p>
      <w:pPr>
        <w:jc w:val="right"/>
        <w:rPr>
          <w:rFonts w:ascii="宋体" w:hAnsi="宋体" w:eastAsia="宋体" w:cs="宋体"/>
          <w:color w:val="000000"/>
          <w:spacing w:val="30"/>
          <w:sz w:val="32"/>
        </w:rPr>
      </w:pPr>
      <w:r>
        <w:rPr>
          <w:rFonts w:hint="eastAsia" w:ascii="宋体" w:hAnsi="宋体" w:eastAsia="宋体" w:cs="宋体"/>
          <w:color w:val="000000"/>
          <w:spacing w:val="30"/>
          <w:sz w:val="32"/>
        </w:rPr>
        <w:t>正(副)本</w:t>
      </w:r>
    </w:p>
    <w:p>
      <w:pPr>
        <w:rPr>
          <w:rFonts w:ascii="宋体" w:hAnsi="宋体" w:eastAsia="宋体" w:cs="宋体"/>
          <w:color w:val="000000"/>
          <w:spacing w:val="30"/>
          <w:sz w:val="36"/>
          <w:u w:val="single"/>
        </w:rPr>
      </w:pPr>
    </w:p>
    <w:p>
      <w:pPr>
        <w:jc w:val="center"/>
        <w:rPr>
          <w:rFonts w:ascii="宋体" w:hAnsi="宋体" w:eastAsia="宋体" w:cs="宋体"/>
          <w:color w:val="000000"/>
          <w:sz w:val="48"/>
        </w:rPr>
      </w:pPr>
    </w:p>
    <w:p>
      <w:pPr>
        <w:pStyle w:val="20"/>
        <w:spacing w:line="360" w:lineRule="auto"/>
        <w:jc w:val="center"/>
        <w:rPr>
          <w:rFonts w:ascii="宋体" w:hAnsi="宋体" w:eastAsia="宋体" w:cs="宋体"/>
          <w:b/>
          <w:color w:val="000000"/>
          <w:sz w:val="44"/>
          <w:szCs w:val="44"/>
        </w:rPr>
      </w:pPr>
      <w:r>
        <w:rPr>
          <w:rFonts w:hint="eastAsia" w:ascii="宋体" w:hAnsi="宋体" w:eastAsia="宋体" w:cs="宋体"/>
          <w:b/>
          <w:color w:val="000000"/>
          <w:sz w:val="44"/>
          <w:szCs w:val="44"/>
          <w:u w:val="single"/>
        </w:rPr>
        <w:t xml:space="preserve">                    </w:t>
      </w:r>
      <w:r>
        <w:rPr>
          <w:rFonts w:hint="eastAsia" w:ascii="宋体" w:hAnsi="宋体" w:eastAsia="宋体" w:cs="宋体"/>
          <w:b/>
          <w:color w:val="000000"/>
          <w:sz w:val="44"/>
          <w:szCs w:val="44"/>
        </w:rPr>
        <w:t>工程</w:t>
      </w:r>
    </w:p>
    <w:p>
      <w:pPr>
        <w:pStyle w:val="20"/>
        <w:spacing w:line="360" w:lineRule="auto"/>
        <w:rPr>
          <w:rFonts w:ascii="宋体" w:hAnsi="宋体" w:eastAsia="宋体" w:cs="宋体"/>
          <w:b/>
          <w:color w:val="000000"/>
          <w:sz w:val="44"/>
          <w:szCs w:val="44"/>
          <w:u w:val="single"/>
        </w:rPr>
      </w:pPr>
      <w:r>
        <w:rPr>
          <w:rFonts w:hint="eastAsia" w:ascii="宋体" w:hAnsi="宋体" w:eastAsia="宋体" w:cs="宋体"/>
          <w:b/>
          <w:color w:val="000000"/>
          <w:sz w:val="44"/>
          <w:szCs w:val="44"/>
        </w:rPr>
        <w:t xml:space="preserve">         </w:t>
      </w:r>
    </w:p>
    <w:p>
      <w:pPr>
        <w:spacing w:line="360" w:lineRule="auto"/>
        <w:jc w:val="center"/>
        <w:rPr>
          <w:rFonts w:ascii="宋体" w:hAnsi="宋体" w:eastAsia="宋体" w:cs="宋体"/>
          <w:b/>
          <w:color w:val="000000"/>
          <w:sz w:val="44"/>
          <w:szCs w:val="44"/>
        </w:rPr>
      </w:pPr>
    </w:p>
    <w:p>
      <w:pPr>
        <w:spacing w:line="360" w:lineRule="auto"/>
        <w:jc w:val="center"/>
        <w:rPr>
          <w:rFonts w:ascii="宋体" w:hAnsi="宋体" w:eastAsia="宋体" w:cs="宋体"/>
          <w:b/>
          <w:color w:val="000000"/>
          <w:sz w:val="76"/>
        </w:rPr>
      </w:pPr>
    </w:p>
    <w:p>
      <w:pPr>
        <w:spacing w:line="360" w:lineRule="auto"/>
        <w:jc w:val="center"/>
        <w:rPr>
          <w:rFonts w:ascii="宋体" w:hAnsi="宋体" w:eastAsia="宋体" w:cs="宋体"/>
          <w:b/>
          <w:color w:val="000000"/>
          <w:sz w:val="72"/>
          <w:szCs w:val="72"/>
        </w:rPr>
      </w:pPr>
      <w:bookmarkStart w:id="270" w:name="_Toc275703908"/>
      <w:r>
        <w:rPr>
          <w:rFonts w:hint="eastAsia" w:ascii="宋体" w:hAnsi="宋体" w:eastAsia="宋体" w:cs="宋体"/>
          <w:b/>
          <w:color w:val="000000"/>
          <w:sz w:val="72"/>
          <w:szCs w:val="72"/>
        </w:rPr>
        <w:t>投 标 文 件</w:t>
      </w:r>
      <w:bookmarkEnd w:id="270"/>
    </w:p>
    <w:p>
      <w:pPr>
        <w:rPr>
          <w:rFonts w:ascii="宋体" w:hAnsi="宋体" w:eastAsia="宋体" w:cs="宋体"/>
          <w:color w:val="000000"/>
          <w:spacing w:val="30"/>
          <w:sz w:val="36"/>
        </w:rPr>
      </w:pPr>
    </w:p>
    <w:p>
      <w:pPr>
        <w:jc w:val="center"/>
        <w:rPr>
          <w:rFonts w:ascii="宋体" w:hAnsi="宋体" w:eastAsia="宋体" w:cs="宋体"/>
          <w:color w:val="000000"/>
          <w:sz w:val="28"/>
        </w:rPr>
      </w:pPr>
    </w:p>
    <w:p>
      <w:pPr>
        <w:jc w:val="center"/>
        <w:rPr>
          <w:rFonts w:ascii="宋体" w:hAnsi="宋体" w:eastAsia="宋体" w:cs="宋体"/>
          <w:color w:val="000000"/>
          <w:sz w:val="28"/>
        </w:rPr>
      </w:pPr>
    </w:p>
    <w:p>
      <w:pPr>
        <w:jc w:val="center"/>
        <w:rPr>
          <w:rFonts w:ascii="宋体" w:hAnsi="宋体" w:eastAsia="宋体" w:cs="宋体"/>
          <w:color w:val="000000"/>
          <w:sz w:val="28"/>
        </w:rPr>
      </w:pPr>
      <w:bookmarkStart w:id="271" w:name="_Toc275703909"/>
    </w:p>
    <w:p>
      <w:pPr>
        <w:jc w:val="center"/>
        <w:rPr>
          <w:rFonts w:ascii="宋体" w:hAnsi="宋体" w:eastAsia="宋体" w:cs="宋体"/>
          <w:color w:val="000000"/>
          <w:sz w:val="28"/>
          <w:u w:val="single"/>
        </w:rPr>
      </w:pPr>
      <w:r>
        <w:rPr>
          <w:rFonts w:hint="eastAsia" w:ascii="宋体" w:hAnsi="宋体" w:eastAsia="宋体" w:cs="宋体"/>
          <w:color w:val="000000"/>
          <w:sz w:val="28"/>
        </w:rPr>
        <w:t>投标人：</w:t>
      </w:r>
      <w:r>
        <w:rPr>
          <w:rFonts w:hint="eastAsia" w:ascii="宋体" w:hAnsi="宋体" w:eastAsia="宋体" w:cs="宋体"/>
          <w:color w:val="000000"/>
          <w:sz w:val="28"/>
          <w:u w:val="single"/>
        </w:rPr>
        <w:t xml:space="preserve">     （全称并盖单位章）</w:t>
      </w:r>
      <w:bookmarkEnd w:id="271"/>
      <w:r>
        <w:rPr>
          <w:rFonts w:hint="eastAsia" w:ascii="宋体" w:hAnsi="宋体" w:eastAsia="宋体" w:cs="宋体"/>
          <w:color w:val="000000"/>
          <w:sz w:val="28"/>
          <w:u w:val="single"/>
        </w:rPr>
        <w:t xml:space="preserve">    </w:t>
      </w:r>
    </w:p>
    <w:p>
      <w:pPr>
        <w:jc w:val="center"/>
        <w:rPr>
          <w:rFonts w:ascii="宋体" w:hAnsi="宋体" w:eastAsia="宋体" w:cs="宋体"/>
          <w:color w:val="000000"/>
        </w:rPr>
      </w:pPr>
    </w:p>
    <w:p>
      <w:pPr>
        <w:jc w:val="center"/>
        <w:rPr>
          <w:rFonts w:ascii="宋体" w:hAnsi="宋体" w:eastAsia="宋体" w:cs="宋体"/>
          <w:color w:val="000000"/>
        </w:rPr>
      </w:pPr>
      <w:r>
        <w:rPr>
          <w:rFonts w:hint="eastAsia" w:ascii="宋体" w:hAnsi="宋体" w:eastAsia="宋体" w:cs="宋体"/>
          <w:color w:val="000000"/>
        </w:rPr>
        <w:t xml:space="preserve">       </w:t>
      </w:r>
    </w:p>
    <w:p>
      <w:pPr>
        <w:jc w:val="center"/>
        <w:rPr>
          <w:rFonts w:ascii="宋体" w:hAnsi="宋体" w:eastAsia="宋体" w:cs="宋体"/>
          <w:color w:val="000000"/>
          <w:sz w:val="28"/>
        </w:rPr>
      </w:pPr>
      <w:r>
        <w:rPr>
          <w:rFonts w:hint="eastAsia" w:ascii="宋体" w:hAnsi="宋体" w:eastAsia="宋体" w:cs="宋体"/>
          <w:color w:val="000000"/>
          <w:sz w:val="28"/>
          <w:u w:val="single"/>
        </w:rPr>
        <w:t xml:space="preserve">       </w:t>
      </w:r>
      <w:bookmarkStart w:id="272" w:name="_Toc275703910"/>
      <w:r>
        <w:rPr>
          <w:rFonts w:hint="eastAsia" w:ascii="宋体" w:hAnsi="宋体" w:eastAsia="宋体" w:cs="宋体"/>
          <w:color w:val="000000"/>
          <w:sz w:val="28"/>
        </w:rPr>
        <w:t>年</w:t>
      </w:r>
      <w:r>
        <w:rPr>
          <w:rFonts w:hint="eastAsia" w:ascii="宋体" w:hAnsi="宋体" w:eastAsia="宋体" w:cs="宋体"/>
          <w:color w:val="000000"/>
          <w:sz w:val="28"/>
          <w:u w:val="single"/>
        </w:rPr>
        <w:t xml:space="preserve">       </w:t>
      </w:r>
      <w:r>
        <w:rPr>
          <w:rFonts w:hint="eastAsia" w:ascii="宋体" w:hAnsi="宋体" w:eastAsia="宋体" w:cs="宋体"/>
          <w:color w:val="000000"/>
          <w:sz w:val="28"/>
        </w:rPr>
        <w:t>月</w:t>
      </w:r>
      <w:r>
        <w:rPr>
          <w:rFonts w:hint="eastAsia" w:ascii="宋体" w:hAnsi="宋体" w:eastAsia="宋体" w:cs="宋体"/>
          <w:color w:val="000000"/>
          <w:sz w:val="28"/>
          <w:u w:val="single"/>
        </w:rPr>
        <w:t xml:space="preserve">       </w:t>
      </w:r>
      <w:r>
        <w:rPr>
          <w:rFonts w:hint="eastAsia" w:ascii="宋体" w:hAnsi="宋体" w:eastAsia="宋体" w:cs="宋体"/>
          <w:color w:val="000000"/>
          <w:sz w:val="28"/>
        </w:rPr>
        <w:t>日</w:t>
      </w:r>
      <w:bookmarkEnd w:id="272"/>
      <w:bookmarkStart w:id="273" w:name="_Toc424137586"/>
      <w:bookmarkStart w:id="274" w:name="_Toc400610946"/>
      <w:bookmarkStart w:id="275" w:name="_Toc430672691"/>
      <w:bookmarkStart w:id="276" w:name="_Toc275703921"/>
      <w:bookmarkStart w:id="277" w:name="_Toc144974857"/>
      <w:bookmarkStart w:id="278" w:name="_Toc152045788"/>
      <w:bookmarkStart w:id="279" w:name="_Toc7433"/>
      <w:bookmarkStart w:id="280" w:name="_Toc400611025"/>
      <w:bookmarkStart w:id="281" w:name="_Toc179632808"/>
      <w:bookmarkStart w:id="282" w:name="_Toc152042577"/>
      <w:bookmarkStart w:id="283" w:name="_Toc415754613"/>
      <w:bookmarkStart w:id="284" w:name="_Toc158103912"/>
      <w:bookmarkStart w:id="285" w:name="_Toc110934843"/>
      <w:bookmarkStart w:id="286" w:name="_Toc127266013"/>
      <w:bookmarkStart w:id="287" w:name="_Toc127265867"/>
      <w:bookmarkStart w:id="288" w:name="_Toc203303044"/>
      <w:bookmarkStart w:id="289" w:name="_Toc127265361"/>
      <w:bookmarkStart w:id="290" w:name="_Toc145491911"/>
    </w:p>
    <w:bookmarkEnd w:id="273"/>
    <w:bookmarkEnd w:id="274"/>
    <w:bookmarkEnd w:id="275"/>
    <w:bookmarkEnd w:id="276"/>
    <w:bookmarkEnd w:id="277"/>
    <w:bookmarkEnd w:id="278"/>
    <w:bookmarkEnd w:id="279"/>
    <w:bookmarkEnd w:id="280"/>
    <w:bookmarkEnd w:id="281"/>
    <w:bookmarkEnd w:id="282"/>
    <w:bookmarkEnd w:id="283"/>
    <w:p>
      <w:pPr>
        <w:pStyle w:val="2"/>
      </w:pPr>
      <w:bookmarkStart w:id="291" w:name="_Toc486918631"/>
      <w:bookmarkStart w:id="292" w:name="_Toc403"/>
      <w:bookmarkStart w:id="293" w:name="_Toc497140245"/>
      <w:bookmarkStart w:id="294" w:name="_Toc5824"/>
      <w:bookmarkStart w:id="295" w:name="_Toc23933"/>
      <w:bookmarkStart w:id="296" w:name="_Toc25460"/>
      <w:bookmarkStart w:id="297" w:name="_Toc431309127"/>
      <w:bookmarkStart w:id="298" w:name="_Toc25189"/>
      <w:bookmarkStart w:id="299" w:name="_Toc32275"/>
      <w:bookmarkStart w:id="300" w:name="_Toc496862798"/>
      <w:bookmarkStart w:id="301" w:name="_Toc275704002"/>
      <w:bookmarkStart w:id="302" w:name="_Toc152042584"/>
      <w:bookmarkStart w:id="303" w:name="_Toc144974863"/>
      <w:bookmarkStart w:id="304" w:name="_Toc152045795"/>
      <w:bookmarkStart w:id="305" w:name="_Toc179632815"/>
    </w:p>
    <w:p>
      <w:pPr>
        <w:pStyle w:val="4"/>
        <w:jc w:val="center"/>
        <w:rPr>
          <w:rFonts w:ascii="宋体" w:hAnsi="宋体" w:cs="宋体"/>
          <w:bCs/>
          <w:color w:val="000000"/>
          <w:sz w:val="28"/>
          <w:szCs w:val="28"/>
        </w:rPr>
      </w:pPr>
      <w:r>
        <w:rPr>
          <w:rFonts w:hint="eastAsia" w:ascii="宋体" w:hAnsi="宋体" w:cs="宋体"/>
          <w:bCs/>
          <w:color w:val="000000"/>
          <w:sz w:val="28"/>
          <w:szCs w:val="28"/>
        </w:rPr>
        <w:t>一、投标函</w:t>
      </w:r>
      <w:bookmarkEnd w:id="291"/>
      <w:bookmarkEnd w:id="292"/>
      <w:bookmarkEnd w:id="293"/>
      <w:bookmarkEnd w:id="294"/>
      <w:bookmarkEnd w:id="295"/>
      <w:bookmarkEnd w:id="296"/>
      <w:bookmarkEnd w:id="297"/>
      <w:bookmarkEnd w:id="298"/>
      <w:bookmarkEnd w:id="299"/>
      <w:bookmarkEnd w:id="300"/>
    </w:p>
    <w:p>
      <w:pPr>
        <w:pStyle w:val="28"/>
        <w:adjustRightInd w:val="0"/>
        <w:snapToGrid w:val="0"/>
        <w:spacing w:line="400" w:lineRule="exact"/>
        <w:rPr>
          <w:rFonts w:ascii="宋体" w:hAnsi="宋体" w:cs="宋体"/>
          <w:sz w:val="24"/>
          <w:u w:val="single"/>
        </w:rPr>
      </w:pPr>
      <w:r>
        <w:rPr>
          <w:rFonts w:hint="eastAsia" w:ascii="宋体" w:hAnsi="宋体" w:cs="宋体"/>
          <w:sz w:val="24"/>
          <w:szCs w:val="24"/>
        </w:rPr>
        <w:t>致</w:t>
      </w:r>
      <w:r>
        <w:rPr>
          <w:rFonts w:hint="eastAsia" w:ascii="宋体" w:hAnsi="宋体" w:cs="宋体"/>
          <w:color w:val="000000"/>
          <w:sz w:val="24"/>
          <w:szCs w:val="24"/>
          <w:u w:val="single"/>
        </w:rPr>
        <w:t>　</w:t>
      </w:r>
      <w:r>
        <w:rPr>
          <w:rFonts w:hint="eastAsia" w:ascii="宋体" w:hAnsi="宋体" w:cs="宋体"/>
          <w:sz w:val="24"/>
          <w:szCs w:val="24"/>
          <w:u w:val="single"/>
        </w:rPr>
        <w:t xml:space="preserve">                </w:t>
      </w:r>
      <w:r>
        <w:rPr>
          <w:rFonts w:hint="eastAsia" w:ascii="宋体" w:hAnsi="宋体" w:cs="宋体"/>
          <w:sz w:val="24"/>
          <w:szCs w:val="24"/>
        </w:rPr>
        <w:t>（招标人名称）</w:t>
      </w:r>
    </w:p>
    <w:p>
      <w:pPr>
        <w:pStyle w:val="28"/>
        <w:adjustRightInd w:val="0"/>
        <w:snapToGrid w:val="0"/>
        <w:spacing w:line="400" w:lineRule="exact"/>
        <w:ind w:firstLine="567"/>
        <w:rPr>
          <w:rFonts w:ascii="宋体" w:hAnsi="宋体" w:cs="宋体"/>
          <w:sz w:val="24"/>
          <w:szCs w:val="24"/>
        </w:rPr>
      </w:pPr>
      <w:r>
        <w:rPr>
          <w:rFonts w:hint="eastAsia" w:ascii="宋体" w:hAnsi="宋体" w:cs="宋体"/>
          <w:sz w:val="24"/>
          <w:szCs w:val="24"/>
        </w:rPr>
        <w:t>1、根据已收到贵方的</w:t>
      </w:r>
      <w:r>
        <w:rPr>
          <w:rFonts w:hint="eastAsia" w:ascii="宋体" w:hAnsi="宋体" w:cs="宋体"/>
          <w:color w:val="000000"/>
          <w:sz w:val="24"/>
          <w:szCs w:val="24"/>
          <w:u w:val="single"/>
        </w:rPr>
        <w:t xml:space="preserve">                         </w:t>
      </w:r>
      <w:r>
        <w:rPr>
          <w:rFonts w:hint="eastAsia" w:ascii="宋体" w:hAnsi="宋体" w:cs="宋体"/>
          <w:sz w:val="24"/>
          <w:szCs w:val="24"/>
        </w:rPr>
        <w:t>工程的招标文件，并已详细审核了全部招标文件及有关附件。</w:t>
      </w:r>
    </w:p>
    <w:p>
      <w:pPr>
        <w:pStyle w:val="28"/>
        <w:adjustRightInd w:val="0"/>
        <w:snapToGrid w:val="0"/>
        <w:spacing w:line="400" w:lineRule="exact"/>
        <w:ind w:firstLine="567"/>
        <w:rPr>
          <w:rFonts w:ascii="宋体" w:hAnsi="宋体" w:cs="宋体"/>
          <w:sz w:val="24"/>
          <w:szCs w:val="24"/>
        </w:rPr>
      </w:pPr>
      <w:r>
        <w:rPr>
          <w:rFonts w:hint="eastAsia" w:ascii="宋体" w:hAnsi="宋体" w:cs="宋体"/>
          <w:sz w:val="24"/>
          <w:szCs w:val="24"/>
        </w:rPr>
        <w:t xml:space="preserve">2、遵照《中华人民共和国招标投标法》、《江苏省招标投标条例》等有关规定， 经考察现场和研究上述工程招标文件的条款后，我方承诺：愿以 </w:t>
      </w:r>
      <w:r>
        <w:rPr>
          <w:rFonts w:hint="eastAsia" w:ascii="宋体" w:hAnsi="宋体" w:cs="宋体"/>
          <w:sz w:val="24"/>
          <w:szCs w:val="24"/>
          <w:u w:val="single"/>
        </w:rPr>
        <w:t xml:space="preserve">          </w:t>
      </w:r>
      <w:r>
        <w:rPr>
          <w:rFonts w:hint="eastAsia" w:ascii="宋体" w:hAnsi="宋体" w:cs="宋体"/>
          <w:sz w:val="24"/>
          <w:szCs w:val="24"/>
        </w:rPr>
        <w:t>的投标报价并按上述合同条款、标准和技术规范、实际图纸、实际工程量清单等要求承包上述工程的施工、竣工并修补其任何缺陷。</w:t>
      </w:r>
    </w:p>
    <w:p>
      <w:pPr>
        <w:pStyle w:val="28"/>
        <w:adjustRightInd w:val="0"/>
        <w:snapToGrid w:val="0"/>
        <w:spacing w:line="400" w:lineRule="exact"/>
        <w:ind w:firstLine="567"/>
        <w:rPr>
          <w:rFonts w:ascii="宋体" w:hAnsi="宋体" w:cs="宋体"/>
          <w:color w:val="000000"/>
          <w:sz w:val="24"/>
          <w:szCs w:val="24"/>
          <w:u w:val="single"/>
        </w:rPr>
      </w:pPr>
      <w:r>
        <w:rPr>
          <w:rFonts w:hint="eastAsia" w:ascii="宋体" w:hAnsi="宋体" w:cs="宋体"/>
          <w:sz w:val="24"/>
          <w:szCs w:val="24"/>
        </w:rPr>
        <w:t>3、如果我方中标，我方保证按招标文件中规定的日期，在</w:t>
      </w:r>
      <w:r>
        <w:rPr>
          <w:rFonts w:hint="eastAsia" w:ascii="宋体" w:hAnsi="宋体" w:cs="宋体"/>
          <w:sz w:val="24"/>
          <w:szCs w:val="24"/>
          <w:u w:val="single"/>
        </w:rPr>
        <w:t xml:space="preserve">       </w:t>
      </w:r>
      <w:r>
        <w:rPr>
          <w:rFonts w:hint="eastAsia" w:ascii="宋体" w:hAnsi="宋体" w:cs="宋体"/>
          <w:sz w:val="24"/>
          <w:szCs w:val="24"/>
        </w:rPr>
        <w:t>日历天完成并移交本工程，</w:t>
      </w:r>
      <w:r>
        <w:rPr>
          <w:rFonts w:hint="eastAsia" w:ascii="宋体" w:hAnsi="宋体" w:cs="宋体"/>
          <w:b/>
          <w:sz w:val="24"/>
          <w:szCs w:val="24"/>
        </w:rPr>
        <w:t>质量标准达到</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pStyle w:val="28"/>
        <w:adjustRightInd w:val="0"/>
        <w:snapToGrid w:val="0"/>
        <w:spacing w:line="400" w:lineRule="exact"/>
        <w:ind w:firstLine="567"/>
        <w:rPr>
          <w:rFonts w:ascii="宋体" w:hAnsi="宋体" w:cs="宋体"/>
          <w:sz w:val="24"/>
          <w:szCs w:val="24"/>
        </w:rPr>
      </w:pPr>
      <w:r>
        <w:rPr>
          <w:rFonts w:hint="eastAsia" w:ascii="宋体" w:hAnsi="宋体" w:cs="宋体"/>
          <w:sz w:val="24"/>
          <w:szCs w:val="24"/>
        </w:rPr>
        <w:t>4、如果中标，我方将派出</w:t>
      </w:r>
      <w:r>
        <w:rPr>
          <w:rFonts w:hint="eastAsia" w:ascii="宋体" w:hAnsi="宋体" w:cs="宋体"/>
          <w:color w:val="000000"/>
          <w:sz w:val="24"/>
          <w:szCs w:val="24"/>
          <w:u w:val="single"/>
        </w:rPr>
        <w:t xml:space="preserve">          </w:t>
      </w:r>
      <w:r>
        <w:rPr>
          <w:rFonts w:hint="eastAsia" w:ascii="宋体" w:hAnsi="宋体" w:cs="宋体"/>
          <w:sz w:val="24"/>
          <w:szCs w:val="24"/>
        </w:rPr>
        <w:t>（项目负责人姓名）作为本工程项目负责人。</w:t>
      </w:r>
    </w:p>
    <w:p>
      <w:pPr>
        <w:pStyle w:val="28"/>
        <w:adjustRightInd w:val="0"/>
        <w:snapToGrid w:val="0"/>
        <w:spacing w:line="400" w:lineRule="exact"/>
        <w:rPr>
          <w:rFonts w:ascii="宋体" w:hAnsi="宋体" w:cs="宋体"/>
          <w:sz w:val="24"/>
          <w:szCs w:val="24"/>
        </w:rPr>
      </w:pPr>
      <w:r>
        <w:rPr>
          <w:rFonts w:ascii="宋体" w:hAnsi="宋体" w:cs="宋体"/>
          <w:sz w:val="24"/>
        </w:rPr>
        <w:t xml:space="preserve">    </w:t>
      </w:r>
      <w:r>
        <w:rPr>
          <w:rFonts w:hint="eastAsia" w:ascii="宋体" w:hAnsi="宋体" w:cs="宋体"/>
          <w:sz w:val="24"/>
        </w:rPr>
        <w:t>5</w:t>
      </w:r>
      <w:r>
        <w:rPr>
          <w:rFonts w:hint="eastAsia" w:ascii="宋体" w:hAnsi="宋体" w:cs="宋体"/>
          <w:sz w:val="24"/>
          <w:szCs w:val="24"/>
        </w:rPr>
        <w:t>、我方同意在自规定的开标日起</w:t>
      </w:r>
      <w:r>
        <w:rPr>
          <w:rFonts w:hint="eastAsia" w:ascii="宋体" w:hAnsi="宋体" w:cs="宋体"/>
          <w:sz w:val="24"/>
          <w:szCs w:val="24"/>
          <w:u w:val="single"/>
        </w:rPr>
        <w:t>　60　</w:t>
      </w:r>
      <w:r>
        <w:rPr>
          <w:rFonts w:hint="eastAsia" w:ascii="宋体" w:hAnsi="宋体" w:cs="宋体"/>
          <w:sz w:val="24"/>
          <w:szCs w:val="24"/>
        </w:rPr>
        <w:t>天的投标有效期内严格遵守本投标文件的各项承诺。在此期限届满之前，本投标文件始终对我方具有约束力，并随时接受中标。我方承诺在投标有效期内不修改、撤销投标文件。</w:t>
      </w:r>
    </w:p>
    <w:p>
      <w:pPr>
        <w:pStyle w:val="28"/>
        <w:adjustRightInd w:val="0"/>
        <w:snapToGrid w:val="0"/>
        <w:spacing w:line="400" w:lineRule="exac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6、除非另外达成协议并生效，贵方的中标通知书和本投标文件将成为约束双方的合同文件的组成部分。</w:t>
      </w:r>
    </w:p>
    <w:p>
      <w:pPr>
        <w:pStyle w:val="28"/>
        <w:adjustRightInd w:val="0"/>
        <w:snapToGrid w:val="0"/>
        <w:spacing w:line="400" w:lineRule="exact"/>
        <w:ind w:firstLine="359"/>
        <w:rPr>
          <w:rFonts w:ascii="宋体" w:hAnsi="宋体" w:cs="宋体"/>
          <w:color w:val="000000"/>
          <w:sz w:val="24"/>
          <w:szCs w:val="24"/>
        </w:rPr>
      </w:pPr>
      <w:r>
        <w:rPr>
          <w:rFonts w:hint="eastAsia" w:ascii="宋体" w:hAnsi="宋体" w:cs="宋体"/>
          <w:sz w:val="24"/>
          <w:szCs w:val="24"/>
        </w:rPr>
        <w:t>投标人 (盖章)：</w:t>
      </w:r>
      <w:r>
        <w:rPr>
          <w:rFonts w:hint="eastAsia" w:ascii="宋体" w:hAnsi="宋体" w:cs="宋体"/>
          <w:color w:val="000000"/>
          <w:sz w:val="24"/>
          <w:szCs w:val="24"/>
          <w:u w:val="single"/>
        </w:rPr>
        <w:t xml:space="preserve">                                                  </w:t>
      </w:r>
    </w:p>
    <w:p>
      <w:pPr>
        <w:pStyle w:val="28"/>
        <w:adjustRightInd w:val="0"/>
        <w:snapToGrid w:val="0"/>
        <w:spacing w:line="400" w:lineRule="exact"/>
        <w:ind w:firstLine="359"/>
        <w:rPr>
          <w:rFonts w:ascii="宋体" w:hAnsi="宋体" w:cs="宋体"/>
          <w:color w:val="000000"/>
          <w:sz w:val="24"/>
          <w:szCs w:val="24"/>
        </w:rPr>
      </w:pPr>
    </w:p>
    <w:p>
      <w:pPr>
        <w:pStyle w:val="28"/>
        <w:adjustRightInd w:val="0"/>
        <w:snapToGrid w:val="0"/>
        <w:spacing w:line="400" w:lineRule="exact"/>
        <w:ind w:firstLine="359"/>
        <w:rPr>
          <w:rFonts w:ascii="宋体" w:hAnsi="宋体" w:cs="宋体"/>
          <w:color w:val="000000"/>
          <w:sz w:val="24"/>
          <w:szCs w:val="24"/>
        </w:rPr>
      </w:pPr>
      <w:r>
        <w:rPr>
          <w:rFonts w:hint="eastAsia" w:ascii="宋体" w:hAnsi="宋体" w:cs="宋体"/>
          <w:sz w:val="24"/>
          <w:szCs w:val="24"/>
        </w:rPr>
        <w:t>单位地址：</w:t>
      </w:r>
      <w:r>
        <w:rPr>
          <w:rFonts w:hint="eastAsia" w:ascii="宋体" w:hAnsi="宋体" w:cs="宋体"/>
          <w:color w:val="000000"/>
          <w:sz w:val="24"/>
          <w:szCs w:val="24"/>
          <w:u w:val="single"/>
        </w:rPr>
        <w:t xml:space="preserve">                                                       </w:t>
      </w:r>
    </w:p>
    <w:p>
      <w:pPr>
        <w:pStyle w:val="28"/>
        <w:adjustRightInd w:val="0"/>
        <w:snapToGrid w:val="0"/>
        <w:spacing w:line="400" w:lineRule="exact"/>
        <w:ind w:firstLine="359"/>
        <w:rPr>
          <w:rFonts w:ascii="宋体" w:hAnsi="宋体" w:cs="宋体"/>
          <w:color w:val="000000"/>
          <w:sz w:val="24"/>
          <w:szCs w:val="24"/>
        </w:rPr>
      </w:pPr>
    </w:p>
    <w:p>
      <w:pPr>
        <w:pStyle w:val="28"/>
        <w:adjustRightInd w:val="0"/>
        <w:snapToGrid w:val="0"/>
        <w:spacing w:line="400" w:lineRule="exact"/>
        <w:ind w:firstLine="359"/>
        <w:rPr>
          <w:rFonts w:ascii="宋体" w:hAnsi="宋体" w:cs="宋体"/>
          <w:color w:val="000000"/>
          <w:sz w:val="24"/>
          <w:szCs w:val="24"/>
          <w:u w:val="single"/>
        </w:rPr>
      </w:pPr>
      <w:r>
        <w:rPr>
          <w:rFonts w:hint="eastAsia" w:ascii="宋体" w:hAnsi="宋体" w:cs="宋体"/>
          <w:sz w:val="24"/>
          <w:szCs w:val="24"/>
        </w:rPr>
        <w:t>法定代表人或其受权委托人(</w:t>
      </w:r>
      <w:r>
        <w:rPr>
          <w:rFonts w:hint="eastAsia" w:ascii="宋体" w:hAnsi="宋体" w:cs="宋体"/>
          <w:color w:val="FF0000"/>
          <w:sz w:val="24"/>
          <w:szCs w:val="24"/>
        </w:rPr>
        <w:t>签字</w:t>
      </w:r>
      <w:r>
        <w:rPr>
          <w:rFonts w:hint="eastAsia" w:ascii="宋体" w:hAnsi="宋体" w:cs="宋体"/>
          <w:sz w:val="24"/>
          <w:szCs w:val="24"/>
        </w:rPr>
        <w:t>)：</w:t>
      </w:r>
      <w:r>
        <w:rPr>
          <w:rFonts w:hint="eastAsia" w:ascii="宋体" w:hAnsi="宋体" w:cs="宋体"/>
          <w:color w:val="000000"/>
          <w:sz w:val="24"/>
          <w:szCs w:val="24"/>
          <w:u w:val="single"/>
        </w:rPr>
        <w:t xml:space="preserve">                                 </w:t>
      </w:r>
    </w:p>
    <w:p>
      <w:pPr>
        <w:pStyle w:val="28"/>
        <w:adjustRightInd w:val="0"/>
        <w:snapToGrid w:val="0"/>
        <w:spacing w:line="400" w:lineRule="exact"/>
        <w:ind w:firstLine="359"/>
        <w:rPr>
          <w:rFonts w:ascii="宋体" w:hAnsi="宋体" w:cs="宋体"/>
          <w:color w:val="000000"/>
          <w:sz w:val="24"/>
          <w:szCs w:val="24"/>
        </w:rPr>
      </w:pPr>
    </w:p>
    <w:p>
      <w:pPr>
        <w:pStyle w:val="28"/>
        <w:adjustRightInd w:val="0"/>
        <w:snapToGrid w:val="0"/>
        <w:spacing w:line="400" w:lineRule="exact"/>
        <w:ind w:firstLine="359"/>
        <w:rPr>
          <w:rFonts w:ascii="宋体" w:hAnsi="宋体" w:cs="宋体"/>
          <w:color w:val="000000"/>
          <w:sz w:val="24"/>
          <w:szCs w:val="24"/>
        </w:rPr>
      </w:pPr>
      <w:r>
        <w:rPr>
          <w:rFonts w:hint="eastAsia" w:ascii="宋体" w:hAnsi="宋体" w:cs="宋体"/>
          <w:sz w:val="24"/>
          <w:szCs w:val="24"/>
        </w:rPr>
        <w:t>邮政编码：</w:t>
      </w:r>
      <w:r>
        <w:rPr>
          <w:rFonts w:hint="eastAsia" w:ascii="宋体" w:hAnsi="宋体" w:cs="宋体"/>
          <w:color w:val="000000"/>
          <w:sz w:val="24"/>
          <w:szCs w:val="24"/>
          <w:u w:val="single"/>
        </w:rPr>
        <w:t xml:space="preserve">              </w:t>
      </w:r>
      <w:r>
        <w:rPr>
          <w:rFonts w:hint="eastAsia" w:ascii="宋体" w:hAnsi="宋体" w:cs="宋体"/>
          <w:sz w:val="24"/>
          <w:szCs w:val="24"/>
        </w:rPr>
        <w:t>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rPr>
        <w:t>传真：</w:t>
      </w:r>
      <w:r>
        <w:rPr>
          <w:rFonts w:hint="eastAsia" w:ascii="宋体" w:hAnsi="宋体" w:cs="宋体"/>
          <w:color w:val="000000"/>
          <w:sz w:val="24"/>
          <w:szCs w:val="24"/>
          <w:u w:val="single"/>
        </w:rPr>
        <w:t xml:space="preserve">                </w:t>
      </w:r>
    </w:p>
    <w:p>
      <w:pPr>
        <w:pStyle w:val="28"/>
        <w:adjustRightInd w:val="0"/>
        <w:snapToGrid w:val="0"/>
        <w:spacing w:line="400" w:lineRule="exact"/>
        <w:ind w:right="480" w:firstLine="360" w:firstLineChars="150"/>
        <w:rPr>
          <w:rFonts w:ascii="宋体" w:hAnsi="宋体" w:cs="宋体"/>
          <w:color w:val="000000"/>
          <w:sz w:val="24"/>
          <w:szCs w:val="24"/>
        </w:rPr>
      </w:pPr>
    </w:p>
    <w:p>
      <w:pPr>
        <w:pStyle w:val="28"/>
        <w:adjustRightInd w:val="0"/>
        <w:snapToGrid w:val="0"/>
        <w:spacing w:line="400" w:lineRule="exact"/>
        <w:ind w:right="480" w:firstLine="360" w:firstLineChars="150"/>
        <w:rPr>
          <w:rFonts w:ascii="宋体" w:hAnsi="宋体" w:cs="宋体"/>
          <w:sz w:val="24"/>
          <w:szCs w:val="24"/>
        </w:rPr>
      </w:pPr>
      <w:r>
        <w:rPr>
          <w:rFonts w:hint="eastAsia" w:ascii="宋体" w:hAnsi="宋体" w:cs="宋体"/>
          <w:sz w:val="24"/>
          <w:szCs w:val="24"/>
        </w:rPr>
        <w:t>日期：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rPr>
        <w:t>日</w:t>
      </w:r>
    </w:p>
    <w:p>
      <w:pPr>
        <w:widowControl/>
        <w:spacing w:line="600" w:lineRule="exact"/>
        <w:rPr>
          <w:rFonts w:ascii="宋体" w:hAnsi="宋体" w:eastAsia="宋体" w:cs="宋体"/>
          <w:b/>
          <w:bCs/>
          <w:color w:val="000000"/>
          <w:kern w:val="44"/>
          <w:sz w:val="28"/>
          <w:szCs w:val="28"/>
        </w:rPr>
      </w:pPr>
    </w:p>
    <w:p>
      <w:pPr>
        <w:widowControl/>
        <w:spacing w:line="600" w:lineRule="exact"/>
        <w:rPr>
          <w:rFonts w:ascii="宋体" w:hAnsi="宋体" w:eastAsia="宋体" w:cs="宋体"/>
          <w:b/>
          <w:bCs/>
          <w:color w:val="000000"/>
          <w:kern w:val="44"/>
          <w:sz w:val="28"/>
          <w:szCs w:val="28"/>
        </w:rPr>
      </w:pPr>
    </w:p>
    <w:p>
      <w:pPr>
        <w:widowControl/>
        <w:spacing w:line="600" w:lineRule="exact"/>
        <w:rPr>
          <w:rFonts w:ascii="宋体" w:hAnsi="宋体" w:eastAsia="宋体" w:cs="宋体"/>
          <w:b/>
          <w:bCs/>
          <w:color w:val="000000"/>
          <w:kern w:val="44"/>
          <w:sz w:val="28"/>
          <w:szCs w:val="28"/>
        </w:rPr>
      </w:pPr>
    </w:p>
    <w:p>
      <w:pPr>
        <w:widowControl/>
        <w:spacing w:line="600" w:lineRule="exact"/>
        <w:rPr>
          <w:rFonts w:ascii="宋体" w:hAnsi="宋体" w:eastAsia="宋体" w:cs="宋体"/>
          <w:b/>
          <w:bCs/>
          <w:color w:val="000000"/>
          <w:kern w:val="44"/>
          <w:sz w:val="28"/>
          <w:szCs w:val="28"/>
        </w:rPr>
      </w:pPr>
    </w:p>
    <w:p>
      <w:pPr>
        <w:widowControl/>
        <w:spacing w:line="600" w:lineRule="exact"/>
        <w:jc w:val="center"/>
        <w:rPr>
          <w:rFonts w:ascii="宋体" w:hAnsi="宋体" w:eastAsia="宋体" w:cs="宋体"/>
          <w:b/>
          <w:bCs/>
          <w:color w:val="000000"/>
          <w:kern w:val="44"/>
          <w:sz w:val="28"/>
          <w:szCs w:val="28"/>
        </w:rPr>
      </w:pPr>
      <w:r>
        <w:rPr>
          <w:rFonts w:hint="eastAsia" w:ascii="宋体" w:hAnsi="宋体" w:eastAsia="宋体" w:cs="宋体"/>
          <w:b/>
          <w:bCs/>
          <w:color w:val="000000"/>
          <w:kern w:val="44"/>
          <w:sz w:val="28"/>
          <w:szCs w:val="28"/>
        </w:rPr>
        <w:t>二、授权委托书</w:t>
      </w:r>
      <w:bookmarkEnd w:id="301"/>
    </w:p>
    <w:p>
      <w:pPr>
        <w:spacing w:line="440" w:lineRule="exact"/>
        <w:rPr>
          <w:rFonts w:ascii="宋体" w:hAnsi="宋体" w:eastAsia="宋体" w:cs="宋体"/>
          <w:b/>
          <w:color w:val="000000"/>
          <w:sz w:val="24"/>
        </w:rPr>
      </w:pPr>
    </w:p>
    <w:p>
      <w:pPr>
        <w:topLinePunct/>
        <w:spacing w:line="480" w:lineRule="auto"/>
        <w:ind w:firstLine="420" w:firstLineChars="200"/>
        <w:rPr>
          <w:rFonts w:ascii="宋体" w:hAnsi="宋体" w:eastAsia="宋体" w:cs="宋体"/>
          <w:color w:val="000000"/>
        </w:rPr>
      </w:pPr>
      <w:bookmarkStart w:id="306" w:name="_Toc275704016"/>
      <w:r>
        <w:rPr>
          <w:rFonts w:hint="eastAsia" w:ascii="宋体" w:hAnsi="宋体" w:eastAsia="宋体" w:cs="宋体"/>
          <w:color w:val="000000"/>
        </w:rPr>
        <w:t>本人</w:t>
      </w:r>
      <w:r>
        <w:rPr>
          <w:rFonts w:hint="eastAsia" w:ascii="宋体" w:hAnsi="宋体" w:eastAsia="宋体" w:cs="宋体"/>
          <w:color w:val="000000"/>
          <w:u w:val="single"/>
        </w:rPr>
        <w:t xml:space="preserve">                  </w:t>
      </w:r>
      <w:r>
        <w:rPr>
          <w:rFonts w:hint="eastAsia" w:ascii="宋体" w:hAnsi="宋体" w:eastAsia="宋体" w:cs="宋体"/>
          <w:color w:val="000000"/>
        </w:rPr>
        <w:t>（姓名）系</w:t>
      </w:r>
      <w:r>
        <w:rPr>
          <w:rFonts w:hint="eastAsia" w:ascii="宋体" w:hAnsi="宋体" w:eastAsia="宋体" w:cs="宋体"/>
          <w:color w:val="000000"/>
          <w:u w:val="single"/>
        </w:rPr>
        <w:t xml:space="preserve">                           </w:t>
      </w:r>
      <w:r>
        <w:rPr>
          <w:rFonts w:hint="eastAsia" w:ascii="宋体" w:hAnsi="宋体" w:eastAsia="宋体" w:cs="宋体"/>
          <w:color w:val="000000"/>
        </w:rPr>
        <w:t>（投标人名称）的法定代表人，现委托</w:t>
      </w:r>
      <w:r>
        <w:rPr>
          <w:rFonts w:hint="eastAsia" w:ascii="宋体" w:hAnsi="宋体" w:eastAsia="宋体" w:cs="宋体"/>
          <w:color w:val="000000"/>
          <w:u w:val="single"/>
        </w:rPr>
        <w:t xml:space="preserve">                       </w:t>
      </w:r>
      <w:r>
        <w:rPr>
          <w:rFonts w:hint="eastAsia" w:ascii="宋体" w:hAnsi="宋体" w:eastAsia="宋体" w:cs="宋体"/>
          <w:color w:val="000000"/>
        </w:rPr>
        <w:t>为我方代理人。代理人根据授权，以我方名义签署、澄清、说明、补正、递交、撤回、修改</w:t>
      </w:r>
      <w:r>
        <w:rPr>
          <w:rFonts w:hint="eastAsia" w:ascii="宋体" w:hAnsi="宋体" w:eastAsia="宋体" w:cs="宋体"/>
          <w:color w:val="000000"/>
          <w:u w:val="single"/>
        </w:rPr>
        <w:t xml:space="preserve">                   </w:t>
      </w:r>
      <w:r>
        <w:rPr>
          <w:rFonts w:hint="eastAsia" w:ascii="宋体" w:hAnsi="宋体" w:eastAsia="宋体" w:cs="宋体"/>
          <w:color w:val="000000"/>
        </w:rPr>
        <w:t>（项目名称）施工投标文件、签订合同和处理有关事宜，其法律后果由我方承担。</w:t>
      </w:r>
      <w:bookmarkEnd w:id="306"/>
    </w:p>
    <w:p>
      <w:pPr>
        <w:spacing w:line="480" w:lineRule="auto"/>
        <w:rPr>
          <w:rFonts w:ascii="宋体" w:hAnsi="宋体" w:eastAsia="宋体" w:cs="宋体"/>
          <w:color w:val="000000"/>
        </w:rPr>
      </w:pPr>
      <w:r>
        <w:rPr>
          <w:rFonts w:hint="eastAsia" w:ascii="宋体" w:hAnsi="宋体" w:eastAsia="宋体" w:cs="宋体"/>
          <w:color w:val="000000"/>
        </w:rPr>
        <w:t xml:space="preserve">    </w:t>
      </w:r>
      <w:bookmarkStart w:id="307" w:name="_Toc275704017"/>
      <w:r>
        <w:rPr>
          <w:rFonts w:hint="eastAsia" w:ascii="宋体" w:hAnsi="宋体" w:eastAsia="宋体" w:cs="宋体"/>
          <w:color w:val="000000"/>
        </w:rPr>
        <w:t>委托期限：</w:t>
      </w:r>
      <w:r>
        <w:rPr>
          <w:rFonts w:hint="eastAsia" w:ascii="宋体" w:hAnsi="宋体" w:eastAsia="宋体" w:cs="宋体"/>
          <w:color w:val="000000"/>
          <w:u w:val="single"/>
        </w:rPr>
        <w:t xml:space="preserve">                      </w:t>
      </w:r>
      <w:r>
        <w:rPr>
          <w:rFonts w:hint="eastAsia" w:ascii="宋体" w:hAnsi="宋体" w:eastAsia="宋体" w:cs="宋体"/>
          <w:color w:val="000000"/>
        </w:rPr>
        <w:t>。</w:t>
      </w:r>
      <w:bookmarkEnd w:id="307"/>
    </w:p>
    <w:p>
      <w:pPr>
        <w:spacing w:line="480" w:lineRule="auto"/>
        <w:ind w:firstLine="420" w:firstLineChars="200"/>
        <w:rPr>
          <w:rFonts w:ascii="宋体" w:hAnsi="宋体" w:eastAsia="宋体" w:cs="宋体"/>
          <w:color w:val="000000"/>
        </w:rPr>
      </w:pPr>
      <w:bookmarkStart w:id="308" w:name="_Toc275704018"/>
      <w:r>
        <w:rPr>
          <w:rFonts w:hint="eastAsia" w:ascii="宋体" w:hAnsi="宋体" w:eastAsia="宋体" w:cs="宋体"/>
          <w:color w:val="000000"/>
        </w:rPr>
        <w:t>代理人无转委托权。</w:t>
      </w:r>
      <w:bookmarkEnd w:id="308"/>
    </w:p>
    <w:p>
      <w:pPr>
        <w:spacing w:line="480" w:lineRule="auto"/>
        <w:ind w:firstLine="420" w:firstLineChars="200"/>
        <w:rPr>
          <w:rFonts w:ascii="宋体" w:hAnsi="宋体" w:eastAsia="宋体" w:cs="宋体"/>
          <w:color w:val="0000FF"/>
        </w:rPr>
      </w:pPr>
      <w:bookmarkStart w:id="309" w:name="_Toc275704019"/>
      <w:r>
        <w:rPr>
          <w:rFonts w:hint="eastAsia" w:ascii="宋体" w:hAnsi="宋体" w:eastAsia="宋体" w:cs="宋体"/>
          <w:color w:val="0000FF"/>
        </w:rPr>
        <w:t>附：</w:t>
      </w:r>
      <w:bookmarkEnd w:id="309"/>
      <w:r>
        <w:rPr>
          <w:rFonts w:hint="eastAsia" w:ascii="宋体" w:hAnsi="宋体" w:eastAsia="宋体" w:cs="宋体"/>
          <w:color w:val="0000FF"/>
        </w:rPr>
        <w:t>代理人身份证</w:t>
      </w:r>
    </w:p>
    <w:p>
      <w:pPr>
        <w:spacing w:line="440" w:lineRule="exact"/>
        <w:rPr>
          <w:rFonts w:ascii="宋体" w:hAnsi="宋体" w:eastAsia="宋体" w:cs="宋体"/>
          <w:color w:val="000000"/>
        </w:rPr>
      </w:pPr>
    </w:p>
    <w:p>
      <w:pPr>
        <w:spacing w:line="440" w:lineRule="exact"/>
        <w:rPr>
          <w:rFonts w:ascii="宋体" w:hAnsi="宋体" w:eastAsia="宋体" w:cs="宋体"/>
          <w:color w:val="000000"/>
        </w:rPr>
      </w:pPr>
      <w:bookmarkStart w:id="310" w:name="_Toc275704020"/>
      <w:r>
        <w:rPr>
          <w:rFonts w:hint="eastAsia" w:ascii="宋体" w:hAnsi="宋体" w:eastAsia="宋体" w:cs="宋体"/>
          <w:color w:val="000000"/>
        </w:rPr>
        <w:t xml:space="preserve">                          投标人：</w:t>
      </w:r>
      <w:r>
        <w:rPr>
          <w:rFonts w:hint="eastAsia" w:ascii="宋体" w:hAnsi="宋体" w:eastAsia="宋体" w:cs="宋体"/>
          <w:color w:val="000000"/>
          <w:u w:val="single"/>
        </w:rPr>
        <w:t xml:space="preserve">                               </w:t>
      </w:r>
      <w:r>
        <w:rPr>
          <w:rFonts w:hint="eastAsia" w:ascii="宋体" w:hAnsi="宋体" w:eastAsia="宋体" w:cs="宋体"/>
          <w:color w:val="000000"/>
        </w:rPr>
        <w:t>（盖单位章）</w:t>
      </w:r>
      <w:bookmarkEnd w:id="310"/>
    </w:p>
    <w:p>
      <w:pPr>
        <w:spacing w:line="440" w:lineRule="exact"/>
        <w:jc w:val="right"/>
        <w:rPr>
          <w:rFonts w:ascii="宋体" w:hAnsi="宋体" w:eastAsia="宋体" w:cs="宋体"/>
          <w:color w:val="000000"/>
        </w:rPr>
      </w:pPr>
    </w:p>
    <w:p>
      <w:pPr>
        <w:spacing w:line="440" w:lineRule="exact"/>
        <w:jc w:val="right"/>
        <w:rPr>
          <w:rFonts w:ascii="宋体" w:hAnsi="宋体" w:eastAsia="宋体" w:cs="宋体"/>
          <w:color w:val="000000"/>
        </w:rPr>
      </w:pPr>
      <w:bookmarkStart w:id="311" w:name="_Toc275704021"/>
      <w:r>
        <w:rPr>
          <w:rFonts w:hint="eastAsia" w:ascii="宋体" w:hAnsi="宋体" w:eastAsia="宋体" w:cs="宋体"/>
          <w:color w:val="000000"/>
        </w:rPr>
        <w:t>法定代表人：</w:t>
      </w:r>
      <w:r>
        <w:rPr>
          <w:rFonts w:hint="eastAsia" w:ascii="宋体" w:hAnsi="宋体" w:eastAsia="宋体" w:cs="宋体"/>
          <w:color w:val="000000"/>
          <w:u w:val="single"/>
        </w:rPr>
        <w:t xml:space="preserve">                               </w:t>
      </w:r>
      <w:r>
        <w:rPr>
          <w:rFonts w:hint="eastAsia" w:ascii="宋体" w:hAnsi="宋体" w:eastAsia="宋体" w:cs="宋体"/>
          <w:color w:val="000000"/>
        </w:rPr>
        <w:t>（签字或盖章）</w:t>
      </w:r>
      <w:bookmarkEnd w:id="311"/>
    </w:p>
    <w:p>
      <w:pPr>
        <w:spacing w:line="440" w:lineRule="exact"/>
        <w:jc w:val="right"/>
        <w:rPr>
          <w:rFonts w:ascii="宋体" w:hAnsi="宋体" w:eastAsia="宋体" w:cs="宋体"/>
          <w:color w:val="000000"/>
        </w:rPr>
      </w:pPr>
    </w:p>
    <w:p>
      <w:pPr>
        <w:spacing w:line="440" w:lineRule="exact"/>
        <w:jc w:val="left"/>
        <w:rPr>
          <w:rFonts w:ascii="宋体" w:hAnsi="宋体" w:eastAsia="宋体" w:cs="宋体"/>
          <w:color w:val="000000"/>
        </w:rPr>
      </w:pPr>
      <w:r>
        <w:rPr>
          <w:rFonts w:hint="eastAsia" w:ascii="宋体" w:hAnsi="宋体" w:eastAsia="宋体" w:cs="宋体"/>
          <w:color w:val="000000"/>
        </w:rPr>
        <w:t xml:space="preserve">                       </w:t>
      </w:r>
      <w:bookmarkStart w:id="312" w:name="_Toc275704023"/>
      <w:r>
        <w:rPr>
          <w:rFonts w:hint="eastAsia" w:ascii="宋体" w:hAnsi="宋体" w:eastAsia="宋体" w:cs="宋体"/>
          <w:color w:val="000000"/>
        </w:rPr>
        <w:t>委托代理人：</w:t>
      </w:r>
      <w:r>
        <w:rPr>
          <w:rFonts w:hint="eastAsia" w:ascii="宋体" w:hAnsi="宋体" w:eastAsia="宋体" w:cs="宋体"/>
          <w:color w:val="000000"/>
          <w:u w:val="single"/>
        </w:rPr>
        <w:t xml:space="preserve">                              </w:t>
      </w:r>
      <w:r>
        <w:rPr>
          <w:rFonts w:hint="eastAsia" w:ascii="宋体" w:hAnsi="宋体" w:eastAsia="宋体" w:cs="宋体"/>
          <w:color w:val="000000"/>
        </w:rPr>
        <w:t>（签字或盖章）</w:t>
      </w:r>
      <w:bookmarkEnd w:id="312"/>
      <w:r>
        <w:rPr>
          <w:rFonts w:hint="eastAsia" w:ascii="宋体" w:hAnsi="宋体" w:eastAsia="宋体" w:cs="宋体"/>
          <w:color w:val="000000"/>
        </w:rPr>
        <w:t xml:space="preserve"> </w:t>
      </w:r>
    </w:p>
    <w:p>
      <w:pPr>
        <w:spacing w:line="440" w:lineRule="exact"/>
        <w:rPr>
          <w:rFonts w:ascii="宋体" w:hAnsi="宋体" w:eastAsia="宋体" w:cs="宋体"/>
          <w:color w:val="000000"/>
        </w:rPr>
      </w:pPr>
    </w:p>
    <w:p>
      <w:pPr>
        <w:spacing w:line="440" w:lineRule="exact"/>
        <w:jc w:val="left"/>
        <w:rPr>
          <w:rFonts w:ascii="宋体" w:hAnsi="宋体" w:eastAsia="宋体" w:cs="宋体"/>
          <w:color w:val="000000"/>
        </w:rPr>
      </w:pPr>
      <w:r>
        <w:rPr>
          <w:rFonts w:hint="eastAsia" w:ascii="宋体" w:hAnsi="宋体" w:eastAsia="宋体" w:cs="宋体"/>
          <w:color w:val="000000"/>
        </w:rPr>
        <w:t xml:space="preserve">                               </w:t>
      </w:r>
    </w:p>
    <w:p>
      <w:pPr>
        <w:spacing w:line="440" w:lineRule="exact"/>
        <w:rPr>
          <w:rFonts w:ascii="宋体" w:hAnsi="宋体" w:eastAsia="宋体" w:cs="宋体"/>
          <w:color w:val="000000"/>
        </w:rPr>
      </w:pPr>
    </w:p>
    <w:p>
      <w:pPr>
        <w:spacing w:line="440" w:lineRule="exact"/>
        <w:ind w:firstLine="2310" w:firstLineChars="1100"/>
        <w:jc w:val="right"/>
        <w:rPr>
          <w:rFonts w:ascii="宋体" w:hAnsi="宋体" w:eastAsia="宋体" w:cs="宋体"/>
          <w:color w:val="000000"/>
        </w:rPr>
      </w:pPr>
      <w:r>
        <w:rPr>
          <w:rFonts w:hint="eastAsia" w:ascii="宋体" w:hAnsi="宋体" w:eastAsia="宋体" w:cs="宋体"/>
          <w:color w:val="000000"/>
          <w:u w:val="single"/>
        </w:rPr>
        <w:t xml:space="preserve">      </w:t>
      </w:r>
      <w:bookmarkStart w:id="313" w:name="_Toc275704025"/>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bookmarkEnd w:id="313"/>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r>
        <w:rPr>
          <w:rFonts w:hint="eastAsia" w:ascii="宋体" w:hAnsi="宋体" w:eastAsia="宋体" w:cs="宋体"/>
          <w:color w:val="000000"/>
        </w:rPr>
        <w:t xml:space="preserve"> </w:t>
      </w: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360" w:lineRule="auto"/>
        <w:rPr>
          <w:rFonts w:ascii="宋体" w:hAnsi="宋体" w:cs="宋体"/>
          <w:b/>
          <w:sz w:val="32"/>
          <w:szCs w:val="32"/>
        </w:rPr>
      </w:pPr>
    </w:p>
    <w:p>
      <w:pPr>
        <w:pStyle w:val="2"/>
      </w:pPr>
    </w:p>
    <w:p>
      <w:pPr>
        <w:spacing w:line="360" w:lineRule="auto"/>
        <w:jc w:val="center"/>
        <w:rPr>
          <w:rFonts w:ascii="宋体" w:hAnsi="宋体" w:eastAsia="宋体" w:cs="宋体"/>
          <w:b/>
          <w:sz w:val="32"/>
          <w:szCs w:val="32"/>
        </w:rPr>
      </w:pPr>
      <w:r>
        <w:rPr>
          <w:rFonts w:hint="eastAsia" w:ascii="宋体" w:hAnsi="宋体" w:cs="宋体"/>
          <w:b/>
          <w:sz w:val="32"/>
          <w:szCs w:val="32"/>
        </w:rPr>
        <w:t>三、法定代表人身份证明</w:t>
      </w:r>
    </w:p>
    <w:p>
      <w:pPr>
        <w:spacing w:line="360" w:lineRule="auto"/>
        <w:ind w:firstLine="480"/>
        <w:rPr>
          <w:rFonts w:ascii="宋体" w:hAnsi="宋体" w:cs="宋体"/>
          <w:sz w:val="24"/>
          <w:szCs w:val="24"/>
          <w:u w:val="single"/>
        </w:rPr>
      </w:pPr>
      <w:r>
        <w:rPr>
          <w:rFonts w:hint="eastAsia" w:ascii="宋体" w:hAnsi="宋体" w:cs="宋体"/>
          <w:sz w:val="24"/>
          <w:szCs w:val="24"/>
        </w:rPr>
        <w:t>投标人：</w:t>
      </w:r>
    </w:p>
    <w:p>
      <w:pPr>
        <w:spacing w:line="360" w:lineRule="auto"/>
        <w:ind w:firstLine="480"/>
        <w:rPr>
          <w:rFonts w:ascii="宋体" w:hAnsi="宋体" w:cs="宋体"/>
          <w:sz w:val="24"/>
          <w:szCs w:val="24"/>
          <w:u w:val="single"/>
        </w:rPr>
      </w:pPr>
      <w:r>
        <w:rPr>
          <w:rFonts w:hint="eastAsia" w:ascii="宋体" w:hAnsi="宋体" w:cs="宋体"/>
          <w:sz w:val="24"/>
          <w:szCs w:val="24"/>
        </w:rPr>
        <w:t>单位性质：</w:t>
      </w:r>
    </w:p>
    <w:p>
      <w:pPr>
        <w:spacing w:line="360" w:lineRule="auto"/>
        <w:ind w:firstLine="480"/>
        <w:rPr>
          <w:rFonts w:ascii="宋体" w:hAnsi="宋体" w:cs="宋体"/>
          <w:sz w:val="24"/>
          <w:szCs w:val="24"/>
          <w:u w:val="single"/>
        </w:rPr>
      </w:pPr>
      <w:r>
        <w:rPr>
          <w:rFonts w:hint="eastAsia" w:ascii="宋体" w:hAnsi="宋体" w:cs="宋体"/>
          <w:sz w:val="24"/>
          <w:szCs w:val="24"/>
        </w:rPr>
        <w:t>地址：</w:t>
      </w:r>
    </w:p>
    <w:p>
      <w:pPr>
        <w:spacing w:line="360" w:lineRule="auto"/>
        <w:ind w:firstLine="480"/>
        <w:rPr>
          <w:rFonts w:ascii="宋体" w:hAnsi="宋体" w:cs="宋体"/>
          <w:sz w:val="24"/>
          <w:szCs w:val="24"/>
          <w:u w:val="single"/>
        </w:rPr>
      </w:pPr>
      <w:r>
        <w:rPr>
          <w:rFonts w:hint="eastAsia" w:ascii="宋体" w:hAnsi="宋体" w:cs="宋体"/>
          <w:sz w:val="24"/>
          <w:szCs w:val="24"/>
        </w:rPr>
        <w:t>成立时间：</w:t>
      </w:r>
    </w:p>
    <w:p>
      <w:pPr>
        <w:spacing w:line="360" w:lineRule="auto"/>
        <w:ind w:firstLine="480"/>
        <w:rPr>
          <w:rFonts w:ascii="宋体" w:hAnsi="宋体" w:cs="宋体"/>
          <w:sz w:val="24"/>
          <w:szCs w:val="24"/>
          <w:u w:val="single"/>
        </w:rPr>
      </w:pPr>
      <w:r>
        <w:rPr>
          <w:rFonts w:hint="eastAsia" w:ascii="宋体" w:hAnsi="宋体" w:cs="宋体"/>
          <w:sz w:val="24"/>
          <w:szCs w:val="24"/>
        </w:rPr>
        <w:t>经营期限：</w:t>
      </w:r>
    </w:p>
    <w:p>
      <w:pPr>
        <w:spacing w:line="360" w:lineRule="auto"/>
        <w:ind w:firstLine="480"/>
        <w:rPr>
          <w:rFonts w:ascii="宋体" w:hAnsi="宋体" w:cs="宋体"/>
          <w:sz w:val="24"/>
          <w:szCs w:val="24"/>
          <w:u w:val="single"/>
        </w:rPr>
      </w:pPr>
      <w:r>
        <w:rPr>
          <w:rFonts w:hint="eastAsia" w:ascii="宋体" w:hAnsi="宋体" w:cs="宋体"/>
          <w:sz w:val="24"/>
          <w:szCs w:val="24"/>
        </w:rPr>
        <w:t>姓名：职务：</w:t>
      </w:r>
    </w:p>
    <w:p>
      <w:pPr>
        <w:spacing w:line="360" w:lineRule="auto"/>
        <w:ind w:firstLine="480"/>
        <w:rPr>
          <w:rFonts w:ascii="宋体" w:hAnsi="宋体" w:cs="宋体"/>
          <w:sz w:val="24"/>
          <w:szCs w:val="24"/>
        </w:rPr>
      </w:pPr>
      <w:r>
        <w:rPr>
          <w:rFonts w:hint="eastAsia" w:ascii="宋体" w:hAnsi="宋体" w:cs="宋体"/>
          <w:sz w:val="24"/>
          <w:szCs w:val="24"/>
        </w:rPr>
        <w:t xml:space="preserve">系  </w:t>
      </w:r>
      <w:r>
        <w:rPr>
          <w:rFonts w:hint="eastAsia" w:ascii="宋体" w:hAnsi="宋体" w:cs="宋体"/>
          <w:sz w:val="24"/>
          <w:szCs w:val="24"/>
          <w:u w:val="single"/>
        </w:rPr>
        <w:t>（投标人）</w:t>
      </w:r>
      <w:r>
        <w:rPr>
          <w:rFonts w:hint="eastAsia" w:ascii="宋体" w:hAnsi="宋体" w:cs="宋体"/>
          <w:sz w:val="24"/>
          <w:szCs w:val="24"/>
        </w:rPr>
        <w:t>的法定代表人。</w:t>
      </w:r>
    </w:p>
    <w:p>
      <w:pPr>
        <w:spacing w:line="360" w:lineRule="auto"/>
        <w:ind w:firstLine="480"/>
        <w:rPr>
          <w:rFonts w:ascii="宋体" w:hAnsi="宋体" w:cs="宋体"/>
          <w:sz w:val="24"/>
          <w:szCs w:val="24"/>
        </w:rPr>
      </w:pPr>
      <w:r>
        <w:rPr>
          <w:rFonts w:hint="eastAsia" w:ascii="宋体" w:hAnsi="宋体" w:cs="宋体"/>
          <w:sz w:val="24"/>
          <w:szCs w:val="24"/>
        </w:rPr>
        <w:t>特此证明。</w:t>
      </w:r>
    </w:p>
    <w:p>
      <w:pPr>
        <w:spacing w:line="360" w:lineRule="auto"/>
        <w:ind w:firstLine="480"/>
        <w:rPr>
          <w:rFonts w:ascii="宋体" w:hAnsi="宋体" w:cs="宋体"/>
          <w:color w:val="0000FF"/>
          <w:sz w:val="24"/>
          <w:szCs w:val="24"/>
        </w:rPr>
      </w:pPr>
    </w:p>
    <w:p>
      <w:pPr>
        <w:spacing w:line="360" w:lineRule="auto"/>
        <w:ind w:firstLine="480"/>
        <w:rPr>
          <w:rFonts w:ascii="宋体" w:hAnsi="宋体" w:cs="宋体"/>
          <w:color w:val="0000FF"/>
          <w:sz w:val="24"/>
          <w:szCs w:val="24"/>
        </w:rPr>
      </w:pPr>
      <w:r>
        <w:rPr>
          <w:rFonts w:hint="eastAsia" w:ascii="宋体" w:hAnsi="宋体" w:cs="宋体"/>
          <w:color w:val="0000FF"/>
          <w:sz w:val="24"/>
          <w:szCs w:val="24"/>
        </w:rPr>
        <w:t>附法人身份证</w:t>
      </w: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0" w:firstLineChars="0"/>
        <w:rPr>
          <w:lang w:val="en-US"/>
        </w:rPr>
      </w:pPr>
    </w:p>
    <w:p>
      <w:pPr>
        <w:spacing w:line="360" w:lineRule="auto"/>
        <w:ind w:firstLine="480"/>
        <w:jc w:val="right"/>
        <w:rPr>
          <w:rFonts w:ascii="宋体" w:hAnsi="宋体" w:cs="宋体"/>
          <w:sz w:val="24"/>
          <w:szCs w:val="24"/>
        </w:rPr>
      </w:pPr>
    </w:p>
    <w:p>
      <w:pPr>
        <w:spacing w:line="360" w:lineRule="auto"/>
        <w:ind w:right="480" w:firstLine="6120" w:firstLineChars="2550"/>
        <w:rPr>
          <w:rFonts w:ascii="宋体" w:hAnsi="宋体" w:cs="宋体"/>
          <w:sz w:val="24"/>
          <w:szCs w:val="24"/>
          <w:u w:val="single"/>
        </w:rPr>
      </w:pPr>
      <w:r>
        <w:rPr>
          <w:rFonts w:hint="eastAsia" w:ascii="宋体" w:hAnsi="宋体" w:cs="宋体"/>
          <w:sz w:val="24"/>
          <w:szCs w:val="24"/>
        </w:rPr>
        <w:t>投标人（公章）：</w:t>
      </w:r>
    </w:p>
    <w:p>
      <w:pPr>
        <w:spacing w:line="360" w:lineRule="auto"/>
        <w:ind w:right="480" w:firstLine="6120" w:firstLineChars="2550"/>
        <w:rPr>
          <w:rFonts w:ascii="宋体" w:hAnsi="宋体" w:cs="宋体"/>
          <w:sz w:val="24"/>
          <w:szCs w:val="24"/>
          <w:u w:val="single"/>
        </w:rPr>
      </w:pPr>
      <w:r>
        <w:rPr>
          <w:rFonts w:hint="eastAsia" w:ascii="宋体" w:hAnsi="宋体" w:cs="宋体"/>
          <w:sz w:val="24"/>
          <w:szCs w:val="24"/>
        </w:rPr>
        <w:t>日期：</w:t>
      </w: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spacing w:line="440" w:lineRule="exact"/>
        <w:ind w:right="420"/>
        <w:rPr>
          <w:rFonts w:ascii="宋体" w:hAnsi="宋体" w:eastAsia="宋体" w:cs="宋体"/>
          <w:color w:val="000000"/>
        </w:rPr>
      </w:pPr>
    </w:p>
    <w:p>
      <w:pPr>
        <w:pStyle w:val="51"/>
      </w:pPr>
    </w:p>
    <w:bookmarkEnd w:id="284"/>
    <w:bookmarkEnd w:id="285"/>
    <w:bookmarkEnd w:id="286"/>
    <w:bookmarkEnd w:id="287"/>
    <w:bookmarkEnd w:id="288"/>
    <w:bookmarkEnd w:id="289"/>
    <w:bookmarkEnd w:id="290"/>
    <w:bookmarkEnd w:id="302"/>
    <w:bookmarkEnd w:id="303"/>
    <w:bookmarkEnd w:id="304"/>
    <w:bookmarkEnd w:id="305"/>
    <w:p>
      <w:pPr>
        <w:widowControl/>
        <w:spacing w:line="600" w:lineRule="exact"/>
        <w:jc w:val="center"/>
        <w:rPr>
          <w:rFonts w:ascii="宋体" w:hAnsi="宋体" w:eastAsia="宋体" w:cs="宋体"/>
          <w:b/>
          <w:bCs/>
          <w:color w:val="000000"/>
          <w:kern w:val="44"/>
          <w:sz w:val="28"/>
          <w:szCs w:val="28"/>
        </w:rPr>
      </w:pPr>
      <w:bookmarkStart w:id="314" w:name="_Toc378020179"/>
      <w:r>
        <w:rPr>
          <w:rFonts w:hint="eastAsia" w:ascii="宋体" w:hAnsi="宋体" w:eastAsia="宋体" w:cs="宋体"/>
          <w:b/>
          <w:bCs/>
          <w:color w:val="000000"/>
          <w:kern w:val="44"/>
          <w:sz w:val="28"/>
          <w:szCs w:val="28"/>
        </w:rPr>
        <w:t>四、诚信投标承诺书</w:t>
      </w:r>
      <w:bookmarkEnd w:id="314"/>
    </w:p>
    <w:p>
      <w:pPr>
        <w:spacing w:line="500" w:lineRule="exact"/>
        <w:rPr>
          <w:rFonts w:ascii="宋体" w:hAnsi="宋体" w:eastAsia="宋体" w:cs="宋体"/>
          <w:color w:val="000000"/>
          <w:szCs w:val="21"/>
        </w:rPr>
      </w:pPr>
      <w:r>
        <w:rPr>
          <w:rFonts w:hint="eastAsia" w:ascii="宋体" w:hAnsi="宋体" w:eastAsia="宋体" w:cs="宋体"/>
          <w:color w:val="000000"/>
          <w:szCs w:val="21"/>
        </w:rPr>
        <w:t>本公司承诺：</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本单位自愿参加</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工程项目的投标，本人以企业法定代表人的身份郑重承诺：</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1、所提供的一切材料都是真实的； </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2、不以他人名义投标或者以其他方式弄虚作假，骗取中标；</w:t>
      </w:r>
    </w:p>
    <w:p>
      <w:pPr>
        <w:tabs>
          <w:tab w:val="left" w:pos="360"/>
        </w:tabs>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3、不与其他投标人相互串通投标，不排挤其他投标人的公平竞争、损害招标人的合法权益；</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 xml:space="preserve">4、无恶意拖欠分包企业工程款或者农民工工资的行为,无因骗取中标或严重违约以及发生重大工程质量、安全生产事故等违法违规问题，被有关部门暂停投标资格并在暂停期内； </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5、本企业和项目负责人无行贿犯罪记录；</w:t>
      </w:r>
    </w:p>
    <w:p>
      <w:pPr>
        <w:spacing w:line="440" w:lineRule="exact"/>
        <w:ind w:firstLine="420" w:firstLineChars="200"/>
        <w:rPr>
          <w:rFonts w:ascii="宋体" w:hAnsi="宋体" w:eastAsia="宋体" w:cs="宋体"/>
          <w:color w:val="000000"/>
          <w:szCs w:val="21"/>
        </w:rPr>
      </w:pPr>
      <w:r>
        <w:rPr>
          <w:rFonts w:hint="eastAsia" w:ascii="宋体" w:hAnsi="宋体" w:eastAsia="宋体" w:cs="宋体"/>
          <w:color w:val="000000"/>
          <w:szCs w:val="21"/>
        </w:rPr>
        <w:t>6、我公司不转包、违法分包中标项目，不外借资质；</w:t>
      </w:r>
    </w:p>
    <w:p>
      <w:pPr>
        <w:spacing w:line="440" w:lineRule="exact"/>
        <w:ind w:firstLine="315" w:firstLineChars="150"/>
        <w:rPr>
          <w:rFonts w:ascii="宋体" w:hAnsi="宋体" w:eastAsia="宋体" w:cs="宋体"/>
          <w:color w:val="000000"/>
          <w:szCs w:val="21"/>
        </w:rPr>
      </w:pPr>
      <w:r>
        <w:rPr>
          <w:rFonts w:hint="eastAsia" w:ascii="宋体" w:hAnsi="宋体" w:eastAsia="宋体" w:cs="宋体"/>
          <w:color w:val="000000"/>
          <w:szCs w:val="21"/>
        </w:rPr>
        <w:t>本单位若有违反承诺内容的行为或者经招投标小组认定有串通投标嫌疑的，愿承担违诺违规责任，并取消投标资格。如已中标的，自动取消中标资格；给招标人造成损失的，依法承担赔偿责任。</w:t>
      </w:r>
    </w:p>
    <w:p>
      <w:pPr>
        <w:spacing w:line="440" w:lineRule="exact"/>
        <w:ind w:firstLine="525" w:firstLineChars="250"/>
        <w:rPr>
          <w:rFonts w:ascii="宋体" w:hAnsi="宋体" w:eastAsia="宋体" w:cs="宋体"/>
          <w:color w:val="000000"/>
          <w:szCs w:val="21"/>
        </w:rPr>
      </w:pPr>
    </w:p>
    <w:p>
      <w:pPr>
        <w:spacing w:line="440" w:lineRule="exact"/>
        <w:ind w:firstLine="2625" w:firstLineChars="1250"/>
        <w:rPr>
          <w:rFonts w:ascii="宋体" w:hAnsi="宋体" w:eastAsia="宋体" w:cs="宋体"/>
          <w:color w:val="000000"/>
          <w:szCs w:val="21"/>
        </w:rPr>
      </w:pPr>
    </w:p>
    <w:p>
      <w:pPr>
        <w:spacing w:line="440" w:lineRule="exact"/>
        <w:ind w:firstLine="2625" w:firstLineChars="1250"/>
        <w:rPr>
          <w:rFonts w:ascii="宋体" w:hAnsi="宋体" w:eastAsia="宋体" w:cs="宋体"/>
          <w:color w:val="000000"/>
          <w:szCs w:val="21"/>
        </w:rPr>
      </w:pPr>
    </w:p>
    <w:p>
      <w:pPr>
        <w:spacing w:line="440" w:lineRule="exact"/>
        <w:ind w:firstLine="2625" w:firstLineChars="1250"/>
        <w:rPr>
          <w:rFonts w:ascii="宋体" w:hAnsi="宋体" w:eastAsia="宋体" w:cs="宋体"/>
          <w:color w:val="000000"/>
          <w:szCs w:val="21"/>
        </w:rPr>
      </w:pPr>
      <w:r>
        <w:rPr>
          <w:rFonts w:hint="eastAsia" w:ascii="宋体" w:hAnsi="宋体" w:eastAsia="宋体" w:cs="宋体"/>
          <w:color w:val="000000"/>
          <w:szCs w:val="21"/>
        </w:rPr>
        <w:t>投标单位（公章）：</w:t>
      </w:r>
    </w:p>
    <w:p>
      <w:pPr>
        <w:spacing w:line="440" w:lineRule="exact"/>
        <w:ind w:firstLine="2625" w:firstLineChars="1250"/>
        <w:rPr>
          <w:rFonts w:ascii="宋体" w:hAnsi="宋体" w:eastAsia="宋体" w:cs="宋体"/>
          <w:color w:val="000000"/>
          <w:szCs w:val="21"/>
        </w:rPr>
      </w:pPr>
      <w:r>
        <w:rPr>
          <w:rFonts w:hint="eastAsia" w:ascii="宋体" w:hAnsi="宋体" w:eastAsia="宋体" w:cs="宋体"/>
          <w:color w:val="000000"/>
          <w:szCs w:val="21"/>
        </w:rPr>
        <w:t xml:space="preserve">                   </w:t>
      </w:r>
    </w:p>
    <w:p>
      <w:pPr>
        <w:spacing w:line="440" w:lineRule="exact"/>
        <w:ind w:firstLine="2625" w:firstLineChars="1250"/>
        <w:rPr>
          <w:rFonts w:ascii="宋体" w:hAnsi="宋体" w:eastAsia="宋体" w:cs="宋体"/>
          <w:color w:val="000000"/>
          <w:szCs w:val="21"/>
        </w:rPr>
      </w:pPr>
      <w:r>
        <w:rPr>
          <w:rFonts w:hint="eastAsia" w:ascii="宋体" w:hAnsi="宋体" w:eastAsia="宋体" w:cs="宋体"/>
          <w:color w:val="000000"/>
          <w:szCs w:val="21"/>
        </w:rPr>
        <w:t>法定代表人（签字）：</w:t>
      </w:r>
    </w:p>
    <w:p>
      <w:pPr>
        <w:spacing w:line="440" w:lineRule="exact"/>
        <w:ind w:firstLine="2625" w:firstLineChars="1250"/>
        <w:rPr>
          <w:rFonts w:ascii="宋体" w:hAnsi="宋体" w:eastAsia="宋体" w:cs="宋体"/>
          <w:color w:val="000000"/>
          <w:szCs w:val="21"/>
        </w:rPr>
      </w:pPr>
    </w:p>
    <w:p>
      <w:pPr>
        <w:spacing w:line="440" w:lineRule="exact"/>
        <w:ind w:firstLine="2625" w:firstLineChars="1250"/>
        <w:rPr>
          <w:rFonts w:ascii="宋体" w:hAnsi="宋体" w:eastAsia="宋体" w:cs="宋体"/>
          <w:color w:val="000000"/>
          <w:szCs w:val="21"/>
        </w:rPr>
      </w:pPr>
      <w:r>
        <w:rPr>
          <w:rFonts w:hint="eastAsia" w:ascii="宋体" w:hAnsi="宋体" w:eastAsia="宋体" w:cs="宋体"/>
          <w:color w:val="000000"/>
          <w:szCs w:val="21"/>
        </w:rPr>
        <w:t>年   月    日</w:t>
      </w: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420"/>
        <w:rPr>
          <w:lang w:val="en-US"/>
        </w:rPr>
      </w:pPr>
    </w:p>
    <w:p>
      <w:pPr>
        <w:pStyle w:val="66"/>
        <w:ind w:firstLine="0" w:firstLineChars="0"/>
        <w:rPr>
          <w:lang w:val="en-US"/>
        </w:rPr>
      </w:pPr>
    </w:p>
    <w:p>
      <w:pPr>
        <w:snapToGrid w:val="0"/>
        <w:spacing w:line="460" w:lineRule="exact"/>
        <w:jc w:val="center"/>
        <w:rPr>
          <w:rFonts w:asciiTheme="minorEastAsia" w:hAnsiTheme="minorEastAsia" w:cstheme="minorEastAsia"/>
          <w:b/>
          <w:bCs/>
          <w:sz w:val="28"/>
          <w:szCs w:val="28"/>
        </w:rPr>
      </w:pPr>
      <w:bookmarkStart w:id="315" w:name="_Toc302967427"/>
      <w:r>
        <w:rPr>
          <w:rFonts w:hint="eastAsia" w:asciiTheme="minorEastAsia" w:hAnsiTheme="minorEastAsia" w:cstheme="minorEastAsia"/>
          <w:b/>
          <w:bCs/>
          <w:sz w:val="28"/>
          <w:szCs w:val="28"/>
        </w:rPr>
        <w:t>三、开标一览表</w:t>
      </w:r>
      <w:bookmarkEnd w:id="315"/>
    </w:p>
    <w:p>
      <w:pPr>
        <w:snapToGrid w:val="0"/>
        <w:spacing w:line="460" w:lineRule="exact"/>
        <w:jc w:val="center"/>
        <w:rPr>
          <w:rFonts w:asciiTheme="minorEastAsia" w:hAnsiTheme="minorEastAsia" w:cstheme="minorEastAsia"/>
          <w:b/>
          <w:bCs/>
          <w:sz w:val="28"/>
          <w:szCs w:val="28"/>
        </w:rPr>
      </w:pPr>
    </w:p>
    <w:tbl>
      <w:tblPr>
        <w:tblStyle w:val="52"/>
        <w:tblW w:w="919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项目名称</w:t>
            </w:r>
          </w:p>
        </w:tc>
        <w:tc>
          <w:tcPr>
            <w:tcW w:w="7134" w:type="dxa"/>
            <w:vAlign w:val="center"/>
          </w:tcPr>
          <w:p>
            <w:pPr>
              <w:rPr>
                <w:rFonts w:asciiTheme="minorEastAsia" w:hAnsi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投标单价</w:t>
            </w:r>
          </w:p>
          <w:p>
            <w:pPr>
              <w:jc w:val="center"/>
              <w:rPr>
                <w:rFonts w:asciiTheme="minorEastAsia" w:hAnsiTheme="minorEastAsia" w:cstheme="minorEastAsia"/>
                <w:sz w:val="24"/>
              </w:rPr>
            </w:pPr>
            <w:r>
              <w:rPr>
                <w:rFonts w:hint="eastAsia" w:asciiTheme="minorEastAsia" w:hAnsiTheme="minorEastAsia" w:cstheme="minorEastAsia"/>
                <w:sz w:val="24"/>
              </w:rPr>
              <w:t>（人民币）</w:t>
            </w:r>
          </w:p>
        </w:tc>
        <w:tc>
          <w:tcPr>
            <w:tcW w:w="7134" w:type="dxa"/>
            <w:tcBorders>
              <w:bottom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大写：</w:t>
            </w:r>
          </w:p>
          <w:p>
            <w:pPr>
              <w:rPr>
                <w:rFonts w:asciiTheme="minorEastAsia" w:hAnsiTheme="minorEastAsia" w:cstheme="minorEastAsia"/>
                <w:sz w:val="24"/>
              </w:rPr>
            </w:pPr>
            <w:r>
              <w:rPr>
                <w:rFonts w:hint="eastAsia" w:asciiTheme="minorEastAsia" w:hAnsiTheme="minorEastAsia" w:cstheme="minorEastAsia"/>
                <w:sz w:val="24"/>
              </w:rPr>
              <w:t>小写：</w:t>
            </w:r>
            <w:r>
              <w:rPr>
                <w:rFonts w:asciiTheme="minorEastAsia" w:hAnsiTheme="minorEastAsia" w:cs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工期</w:t>
            </w:r>
          </w:p>
        </w:tc>
        <w:tc>
          <w:tcPr>
            <w:tcW w:w="7134" w:type="dxa"/>
            <w:tcBorders>
              <w:bottom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u w:val="single"/>
              </w:rPr>
              <w:t xml:space="preserve">      </w:t>
            </w:r>
            <w:r>
              <w:rPr>
                <w:rFonts w:hint="eastAsia" w:asciiTheme="minorEastAsia" w:hAnsiTheme="minorEastAsia" w:cstheme="minorEastAsia"/>
                <w:sz w:val="24"/>
              </w:rPr>
              <w:t>日历天</w:t>
            </w:r>
            <w:r>
              <w:rPr>
                <w:rFonts w:asciiTheme="minorEastAsia" w:hAnsiTheme="minorEastAsia" w:cstheme="minorEastAsia"/>
                <w:sz w:val="24"/>
              </w:rPr>
              <w:t>，</w:t>
            </w:r>
            <w:r>
              <w:rPr>
                <w:rFonts w:hint="eastAsia" w:asciiTheme="minorEastAsia" w:hAnsiTheme="minorEastAsia" w:cstheme="minorEastAsia"/>
                <w:sz w:val="24"/>
              </w:rPr>
              <w:t xml:space="preserve"> 质量合格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标书份数</w:t>
            </w:r>
          </w:p>
        </w:tc>
        <w:tc>
          <w:tcPr>
            <w:tcW w:w="7134" w:type="dxa"/>
            <w:vAlign w:val="center"/>
          </w:tcPr>
          <w:p>
            <w:pPr>
              <w:rPr>
                <w:rFonts w:asciiTheme="minorEastAsia" w:hAnsiTheme="minorEastAsia" w:cstheme="minorEastAsia"/>
                <w:sz w:val="24"/>
              </w:rPr>
            </w:pPr>
            <w:r>
              <w:rPr>
                <w:rFonts w:hint="eastAsia" w:asciiTheme="minorEastAsia" w:hAnsiTheme="minorEastAsia" w:cstheme="minorEastAsia"/>
                <w:sz w:val="24"/>
              </w:rPr>
              <w:t>正本：1份     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65" w:type="dxa"/>
            <w:vAlign w:val="center"/>
          </w:tcPr>
          <w:p>
            <w:pPr>
              <w:jc w:val="center"/>
              <w:rPr>
                <w:rFonts w:asciiTheme="minorEastAsia" w:hAnsiTheme="minorEastAsia" w:cstheme="minorEastAsia"/>
                <w:sz w:val="24"/>
              </w:rPr>
            </w:pPr>
            <w:r>
              <w:rPr>
                <w:rFonts w:hint="eastAsia" w:asciiTheme="minorEastAsia" w:hAnsiTheme="minorEastAsia" w:cstheme="minorEastAsia"/>
                <w:sz w:val="24"/>
              </w:rPr>
              <w:t>备    注</w:t>
            </w:r>
          </w:p>
        </w:tc>
        <w:tc>
          <w:tcPr>
            <w:tcW w:w="7134" w:type="dxa"/>
            <w:vAlign w:val="center"/>
          </w:tcPr>
          <w:p>
            <w:pPr>
              <w:rPr>
                <w:rFonts w:asciiTheme="minorEastAsia" w:hAnsiTheme="minorEastAsia" w:cstheme="minorEastAsia"/>
                <w:sz w:val="24"/>
              </w:rPr>
            </w:pPr>
          </w:p>
        </w:tc>
      </w:tr>
    </w:tbl>
    <w:p>
      <w:pPr>
        <w:jc w:val="center"/>
        <w:rPr>
          <w:rFonts w:asciiTheme="minorEastAsia" w:hAnsiTheme="minorEastAsia" w:cstheme="minorEastAsia"/>
          <w:szCs w:val="21"/>
        </w:rPr>
      </w:pPr>
    </w:p>
    <w:p>
      <w:pPr>
        <w:rPr>
          <w:rFonts w:asciiTheme="minorEastAsia" w:hAnsiTheme="minorEastAsia" w:cstheme="minorEastAsia"/>
          <w:bCs/>
          <w:sz w:val="24"/>
          <w:u w:val="single"/>
        </w:rPr>
      </w:pPr>
      <w:r>
        <w:rPr>
          <w:rFonts w:hint="eastAsia" w:asciiTheme="minorEastAsia" w:hAnsiTheme="minorEastAsia" w:cstheme="minorEastAsia"/>
          <w:bCs/>
          <w:sz w:val="24"/>
        </w:rPr>
        <w:t>投标人名称（盖公章）：</w:t>
      </w:r>
      <w:r>
        <w:rPr>
          <w:rFonts w:hint="eastAsia" w:asciiTheme="minorEastAsia" w:hAnsiTheme="minorEastAsia" w:cstheme="minorEastAsia"/>
          <w:bCs/>
          <w:sz w:val="24"/>
          <w:u w:val="single"/>
        </w:rPr>
        <w:t xml:space="preserve"> </w:t>
      </w:r>
      <w:r>
        <w:rPr>
          <w:rFonts w:asciiTheme="minorEastAsia" w:hAnsiTheme="minorEastAsia" w:cstheme="minorEastAsia"/>
          <w:bCs/>
          <w:sz w:val="24"/>
          <w:u w:val="single"/>
        </w:rPr>
        <w:t xml:space="preserve">                         </w:t>
      </w:r>
    </w:p>
    <w:p>
      <w:pPr>
        <w:rPr>
          <w:rFonts w:asciiTheme="minorEastAsia" w:hAnsiTheme="minorEastAsia" w:cstheme="minorEastAsia"/>
          <w:sz w:val="24"/>
        </w:rPr>
      </w:pPr>
      <w:r>
        <w:rPr>
          <w:rFonts w:hint="eastAsia" w:asciiTheme="minorEastAsia" w:hAnsiTheme="minorEastAsia" w:cstheme="minorEastAsia"/>
          <w:sz w:val="24"/>
        </w:rPr>
        <w:t>投标人法定代表人或被授权代表：（签字）</w:t>
      </w:r>
      <w:r>
        <w:rPr>
          <w:rFonts w:hint="eastAsia" w:asciiTheme="minorEastAsia" w:hAnsiTheme="minorEastAsia" w:cstheme="minorEastAsia"/>
          <w:sz w:val="24"/>
          <w:u w:val="single"/>
        </w:rPr>
        <w:t xml:space="preserve">             </w:t>
      </w:r>
    </w:p>
    <w:p>
      <w:pPr>
        <w:rPr>
          <w:rFonts w:asciiTheme="minorEastAsia" w:hAnsiTheme="minorEastAsia" w:cstheme="minorEastAsia"/>
          <w:sz w:val="24"/>
        </w:rPr>
      </w:pPr>
      <w:r>
        <w:rPr>
          <w:rFonts w:hint="eastAsia" w:asciiTheme="minorEastAsia" w:hAnsiTheme="minorEastAsia" w:cstheme="minorEastAsia"/>
          <w:sz w:val="24"/>
        </w:rPr>
        <w:t>时间：</w:t>
      </w:r>
      <w:r>
        <w:rPr>
          <w:rFonts w:asciiTheme="minorEastAsia" w:hAnsiTheme="minorEastAsia" w:cstheme="minorEastAsia"/>
          <w:sz w:val="24"/>
          <w:u w:val="single"/>
        </w:rPr>
        <w:t xml:space="preserve">      </w:t>
      </w:r>
      <w:r>
        <w:rPr>
          <w:rFonts w:hint="eastAsia" w:asciiTheme="minorEastAsia" w:hAnsiTheme="minorEastAsia" w:cstheme="minorEastAsia"/>
          <w:sz w:val="24"/>
        </w:rPr>
        <w:t>年</w:t>
      </w:r>
      <w:r>
        <w:rPr>
          <w:rFonts w:asciiTheme="minorEastAsia" w:hAnsiTheme="minorEastAsia" w:cstheme="minorEastAsia"/>
          <w:sz w:val="24"/>
          <w:u w:val="single"/>
        </w:rPr>
        <w:t xml:space="preserve">   </w:t>
      </w:r>
      <w:r>
        <w:rPr>
          <w:rFonts w:hint="eastAsia" w:asciiTheme="minorEastAsia" w:hAnsiTheme="minorEastAsia" w:cstheme="minorEastAsia"/>
          <w:sz w:val="24"/>
        </w:rPr>
        <w:t>月</w:t>
      </w:r>
      <w:r>
        <w:rPr>
          <w:rFonts w:asciiTheme="minorEastAsia" w:hAnsiTheme="minorEastAsia" w:cstheme="minorEastAsia"/>
          <w:sz w:val="24"/>
          <w:u w:val="single"/>
        </w:rPr>
        <w:t xml:space="preserve">    </w:t>
      </w:r>
      <w:r>
        <w:rPr>
          <w:rFonts w:hint="eastAsia" w:asciiTheme="minorEastAsia" w:hAnsiTheme="minorEastAsia" w:cstheme="minorEastAsia"/>
          <w:sz w:val="24"/>
        </w:rPr>
        <w:t>日</w:t>
      </w:r>
    </w:p>
    <w:p>
      <w:pPr>
        <w:rPr>
          <w:rFonts w:asciiTheme="minorEastAsia" w:hAnsiTheme="minorEastAsia" w:cstheme="minorEastAsia"/>
          <w:sz w:val="24"/>
        </w:rPr>
      </w:pPr>
      <w:r>
        <w:rPr>
          <w:rFonts w:hint="eastAsia" w:asciiTheme="minorEastAsia" w:hAnsiTheme="minorEastAsia" w:cstheme="minorEastAsia"/>
          <w:sz w:val="24"/>
        </w:rPr>
        <w:t>开标一览表填写说明：</w:t>
      </w:r>
    </w:p>
    <w:p>
      <w:pPr>
        <w:rPr>
          <w:rFonts w:asciiTheme="minorEastAsia" w:hAnsiTheme="minorEastAsia" w:cstheme="minorEastAsia"/>
          <w:sz w:val="24"/>
        </w:rPr>
      </w:pPr>
      <w:r>
        <w:rPr>
          <w:rFonts w:hint="eastAsia" w:asciiTheme="minorEastAsia" w:hAnsiTheme="minorEastAsia" w:cstheme="minorEastAsia"/>
          <w:sz w:val="24"/>
        </w:rPr>
        <w:t>1. 投标人必须按表中规定格式完整、清晰、正确填写；</w:t>
      </w:r>
    </w:p>
    <w:p>
      <w:pPr>
        <w:rPr>
          <w:rFonts w:asciiTheme="minorEastAsia" w:hAnsiTheme="minorEastAsia" w:cstheme="minorEastAsia"/>
          <w:sz w:val="24"/>
        </w:rPr>
      </w:pPr>
      <w:r>
        <w:rPr>
          <w:rFonts w:hint="eastAsia" w:asciiTheme="minorEastAsia" w:hAnsiTheme="minorEastAsia" w:cstheme="minorEastAsia"/>
          <w:sz w:val="24"/>
        </w:rPr>
        <w:t>2、所有价格均系用人民币表示，单位为元；</w:t>
      </w:r>
    </w:p>
    <w:p>
      <w:pPr>
        <w:rPr>
          <w:rFonts w:asciiTheme="minorEastAsia" w:hAnsiTheme="minorEastAsia" w:cstheme="minorEastAsia"/>
          <w:sz w:val="24"/>
        </w:rPr>
      </w:pPr>
      <w:r>
        <w:rPr>
          <w:rFonts w:hint="eastAsia" w:asciiTheme="minorEastAsia" w:hAnsiTheme="minorEastAsia" w:cstheme="minorEastAsia"/>
          <w:sz w:val="24"/>
        </w:rPr>
        <w:t>3、投标总报价一次报定；</w:t>
      </w:r>
    </w:p>
    <w:p>
      <w:pPr>
        <w:rPr>
          <w:rFonts w:asciiTheme="minorEastAsia" w:hAnsiTheme="minorEastAsia" w:cstheme="minorEastAsia"/>
          <w:sz w:val="24"/>
        </w:rPr>
      </w:pPr>
      <w:r>
        <w:rPr>
          <w:rFonts w:hint="eastAsia" w:asciiTheme="minorEastAsia" w:hAnsiTheme="minorEastAsia" w:cstheme="minorEastAsia"/>
          <w:sz w:val="24"/>
        </w:rPr>
        <w:t>4、开标一览表中的价格应与投标文件中投标报价一览表中的价格一致；如与投标文件中投标报价一览表中的价格不一致，评标时一律按开标一览表中价格为准。</w:t>
      </w:r>
    </w:p>
    <w:p>
      <w:pPr>
        <w:pStyle w:val="66"/>
        <w:ind w:firstLine="0" w:firstLineChars="0"/>
        <w:rPr>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suff w:val="space"/>
      <w:lvlText w:val="%2.%3.%4"/>
      <w:lvlJc w:val="left"/>
      <w:pPr>
        <w:ind w:left="284" w:hanging="284"/>
      </w:pPr>
      <w:rPr>
        <w:rFonts w:hint="eastAsia" w:ascii="宋体" w:eastAsia="宋体"/>
        <w:b/>
        <w:i w:val="0"/>
        <w:sz w:val="28"/>
      </w:rPr>
    </w:lvl>
    <w:lvl w:ilvl="4" w:tentative="0">
      <w:start w:val="1"/>
      <w:numFmt w:val="decimal"/>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7DB1523A"/>
    <w:multiLevelType w:val="multilevel"/>
    <w:tmpl w:val="7DB1523A"/>
    <w:lvl w:ilvl="0" w:tentative="0">
      <w:start w:val="1"/>
      <w:numFmt w:val="bullet"/>
      <w:lvlText w:val=""/>
      <w:lvlJc w:val="left"/>
      <w:pPr>
        <w:ind w:left="27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18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190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62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34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406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478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5506"/>
      </w:pPr>
      <w:rPr>
        <w:rFonts w:ascii="Wingdings 2" w:hAnsi="Wingdings 2" w:eastAsia="Wingdings 2" w:cs="Wingdings 2"/>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226"/>
      </w:pPr>
      <w:rPr>
        <w:rFonts w:ascii="Wingdings 2" w:hAnsi="Wingdings 2" w:eastAsia="Wingdings 2" w:cs="Wingdings 2"/>
        <w:b w:val="0"/>
        <w:i w:val="0"/>
        <w:strike w:val="0"/>
        <w:dstrike w:val="0"/>
        <w:color w:val="000000"/>
        <w:sz w:val="21"/>
        <w:szCs w:val="21"/>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NmEwMmU4YTFiYjUyMTk0OTdlZjgzMjY2YTlkMjYifQ=="/>
  </w:docVars>
  <w:rsids>
    <w:rsidRoot w:val="001C7B96"/>
    <w:rsid w:val="00023A3C"/>
    <w:rsid w:val="00082A0D"/>
    <w:rsid w:val="000C1068"/>
    <w:rsid w:val="000C3C9E"/>
    <w:rsid w:val="000E0F37"/>
    <w:rsid w:val="000E19D9"/>
    <w:rsid w:val="000E3C77"/>
    <w:rsid w:val="000F1F4B"/>
    <w:rsid w:val="000F296C"/>
    <w:rsid w:val="00107FB0"/>
    <w:rsid w:val="00111202"/>
    <w:rsid w:val="00134133"/>
    <w:rsid w:val="00135513"/>
    <w:rsid w:val="0014446E"/>
    <w:rsid w:val="00147F22"/>
    <w:rsid w:val="001901EE"/>
    <w:rsid w:val="001C7B96"/>
    <w:rsid w:val="001F7E2A"/>
    <w:rsid w:val="00215C23"/>
    <w:rsid w:val="00224581"/>
    <w:rsid w:val="00225013"/>
    <w:rsid w:val="0023095D"/>
    <w:rsid w:val="0025650B"/>
    <w:rsid w:val="00257C34"/>
    <w:rsid w:val="002A61A2"/>
    <w:rsid w:val="002D54F3"/>
    <w:rsid w:val="00307B6A"/>
    <w:rsid w:val="00315D0E"/>
    <w:rsid w:val="00323905"/>
    <w:rsid w:val="00355807"/>
    <w:rsid w:val="00357B09"/>
    <w:rsid w:val="003634E7"/>
    <w:rsid w:val="00374896"/>
    <w:rsid w:val="003A0737"/>
    <w:rsid w:val="003E1525"/>
    <w:rsid w:val="003F1173"/>
    <w:rsid w:val="0041121E"/>
    <w:rsid w:val="00411660"/>
    <w:rsid w:val="00447A35"/>
    <w:rsid w:val="004811BE"/>
    <w:rsid w:val="004967B9"/>
    <w:rsid w:val="004D62EC"/>
    <w:rsid w:val="0050573A"/>
    <w:rsid w:val="00537148"/>
    <w:rsid w:val="005414C0"/>
    <w:rsid w:val="00546CDC"/>
    <w:rsid w:val="00564503"/>
    <w:rsid w:val="00582ED9"/>
    <w:rsid w:val="005B2CBF"/>
    <w:rsid w:val="005E1C7F"/>
    <w:rsid w:val="005F0CE3"/>
    <w:rsid w:val="00621450"/>
    <w:rsid w:val="00624048"/>
    <w:rsid w:val="00637533"/>
    <w:rsid w:val="00646494"/>
    <w:rsid w:val="006641D9"/>
    <w:rsid w:val="00691710"/>
    <w:rsid w:val="00694ACC"/>
    <w:rsid w:val="006954BE"/>
    <w:rsid w:val="006B20D8"/>
    <w:rsid w:val="006E1471"/>
    <w:rsid w:val="006E4304"/>
    <w:rsid w:val="00704706"/>
    <w:rsid w:val="00745A4B"/>
    <w:rsid w:val="0077311D"/>
    <w:rsid w:val="007C11A5"/>
    <w:rsid w:val="007D5DBF"/>
    <w:rsid w:val="00800492"/>
    <w:rsid w:val="00805B6C"/>
    <w:rsid w:val="008337B6"/>
    <w:rsid w:val="008356C4"/>
    <w:rsid w:val="00861D7A"/>
    <w:rsid w:val="00866876"/>
    <w:rsid w:val="008C0FB3"/>
    <w:rsid w:val="008C1462"/>
    <w:rsid w:val="008C1C07"/>
    <w:rsid w:val="008D0694"/>
    <w:rsid w:val="009045F9"/>
    <w:rsid w:val="00907090"/>
    <w:rsid w:val="00912D2E"/>
    <w:rsid w:val="00933F5B"/>
    <w:rsid w:val="00944CF8"/>
    <w:rsid w:val="00945053"/>
    <w:rsid w:val="00974F0C"/>
    <w:rsid w:val="009853F3"/>
    <w:rsid w:val="009B316C"/>
    <w:rsid w:val="009D1F3F"/>
    <w:rsid w:val="009E61CF"/>
    <w:rsid w:val="009E78B5"/>
    <w:rsid w:val="00A01036"/>
    <w:rsid w:val="00A0353A"/>
    <w:rsid w:val="00AA7972"/>
    <w:rsid w:val="00AB1CE9"/>
    <w:rsid w:val="00AB3D53"/>
    <w:rsid w:val="00AE49A0"/>
    <w:rsid w:val="00B04C4F"/>
    <w:rsid w:val="00B32AB3"/>
    <w:rsid w:val="00B5334A"/>
    <w:rsid w:val="00B8200D"/>
    <w:rsid w:val="00BA2762"/>
    <w:rsid w:val="00BD2477"/>
    <w:rsid w:val="00BF1DE0"/>
    <w:rsid w:val="00C04340"/>
    <w:rsid w:val="00C209BB"/>
    <w:rsid w:val="00C55BEF"/>
    <w:rsid w:val="00C73BCE"/>
    <w:rsid w:val="00CC1AF0"/>
    <w:rsid w:val="00CE50BD"/>
    <w:rsid w:val="00CF07E4"/>
    <w:rsid w:val="00D26576"/>
    <w:rsid w:val="00D27037"/>
    <w:rsid w:val="00D40F84"/>
    <w:rsid w:val="00D45AD4"/>
    <w:rsid w:val="00D75CA1"/>
    <w:rsid w:val="00DA4B1D"/>
    <w:rsid w:val="00E21D02"/>
    <w:rsid w:val="00E55EDF"/>
    <w:rsid w:val="00E60150"/>
    <w:rsid w:val="00E94F21"/>
    <w:rsid w:val="00EF748F"/>
    <w:rsid w:val="00F62AA3"/>
    <w:rsid w:val="00F90B6D"/>
    <w:rsid w:val="00FB1245"/>
    <w:rsid w:val="00FB154B"/>
    <w:rsid w:val="00FC7C39"/>
    <w:rsid w:val="00FD34FA"/>
    <w:rsid w:val="00FD465A"/>
    <w:rsid w:val="00FE20F8"/>
    <w:rsid w:val="01732979"/>
    <w:rsid w:val="03D90B5E"/>
    <w:rsid w:val="04003C23"/>
    <w:rsid w:val="047F0B83"/>
    <w:rsid w:val="04814D63"/>
    <w:rsid w:val="049A5E25"/>
    <w:rsid w:val="06023C82"/>
    <w:rsid w:val="060E4EF5"/>
    <w:rsid w:val="06896151"/>
    <w:rsid w:val="06D51397"/>
    <w:rsid w:val="07EC5385"/>
    <w:rsid w:val="095E1B17"/>
    <w:rsid w:val="0AED1671"/>
    <w:rsid w:val="0C634C9A"/>
    <w:rsid w:val="0CC948D0"/>
    <w:rsid w:val="0D6005C4"/>
    <w:rsid w:val="0D6F433B"/>
    <w:rsid w:val="0DBE2B84"/>
    <w:rsid w:val="0DC3019B"/>
    <w:rsid w:val="0E2D1AB8"/>
    <w:rsid w:val="0E462B7A"/>
    <w:rsid w:val="0E603C3C"/>
    <w:rsid w:val="0EAE5504"/>
    <w:rsid w:val="10596B94"/>
    <w:rsid w:val="10FC1E96"/>
    <w:rsid w:val="118B6CF6"/>
    <w:rsid w:val="11A0255B"/>
    <w:rsid w:val="11C73FD2"/>
    <w:rsid w:val="133B5D7B"/>
    <w:rsid w:val="134A6C68"/>
    <w:rsid w:val="14976D8A"/>
    <w:rsid w:val="159A629A"/>
    <w:rsid w:val="17105D6F"/>
    <w:rsid w:val="17732E3B"/>
    <w:rsid w:val="184B7C9E"/>
    <w:rsid w:val="190023E3"/>
    <w:rsid w:val="1AB1581F"/>
    <w:rsid w:val="1D44297A"/>
    <w:rsid w:val="1EB61656"/>
    <w:rsid w:val="1EE066D3"/>
    <w:rsid w:val="207E61A3"/>
    <w:rsid w:val="214F3207"/>
    <w:rsid w:val="215D4B3C"/>
    <w:rsid w:val="23744195"/>
    <w:rsid w:val="23A4767B"/>
    <w:rsid w:val="243616F8"/>
    <w:rsid w:val="25276E09"/>
    <w:rsid w:val="26415D1C"/>
    <w:rsid w:val="265B4083"/>
    <w:rsid w:val="275C3313"/>
    <w:rsid w:val="27D33279"/>
    <w:rsid w:val="29DA6B40"/>
    <w:rsid w:val="2A7256E2"/>
    <w:rsid w:val="2AB611DC"/>
    <w:rsid w:val="2B020295"/>
    <w:rsid w:val="2BE766D7"/>
    <w:rsid w:val="2D894CCD"/>
    <w:rsid w:val="2DC00FDA"/>
    <w:rsid w:val="2E755089"/>
    <w:rsid w:val="2F212B1B"/>
    <w:rsid w:val="2FEA73B1"/>
    <w:rsid w:val="31684A32"/>
    <w:rsid w:val="32285F6F"/>
    <w:rsid w:val="33BC1065"/>
    <w:rsid w:val="34A246FE"/>
    <w:rsid w:val="34A915E9"/>
    <w:rsid w:val="355A3FFA"/>
    <w:rsid w:val="377063EE"/>
    <w:rsid w:val="37DE5A4E"/>
    <w:rsid w:val="39A131D7"/>
    <w:rsid w:val="3A4122C4"/>
    <w:rsid w:val="3B070617"/>
    <w:rsid w:val="3BCE2D2F"/>
    <w:rsid w:val="3CAD14C8"/>
    <w:rsid w:val="3CD76B58"/>
    <w:rsid w:val="3D3D4FC4"/>
    <w:rsid w:val="3DC70B50"/>
    <w:rsid w:val="3E391C30"/>
    <w:rsid w:val="3F260D7B"/>
    <w:rsid w:val="40EA7211"/>
    <w:rsid w:val="42E87E84"/>
    <w:rsid w:val="431E79FE"/>
    <w:rsid w:val="436808C1"/>
    <w:rsid w:val="43B27D8E"/>
    <w:rsid w:val="442362AC"/>
    <w:rsid w:val="4484797D"/>
    <w:rsid w:val="45324E40"/>
    <w:rsid w:val="454A2974"/>
    <w:rsid w:val="454B2248"/>
    <w:rsid w:val="45B778DE"/>
    <w:rsid w:val="466C2476"/>
    <w:rsid w:val="47D66741"/>
    <w:rsid w:val="481728B6"/>
    <w:rsid w:val="485F0905"/>
    <w:rsid w:val="492473B8"/>
    <w:rsid w:val="49A87C69"/>
    <w:rsid w:val="4A122728"/>
    <w:rsid w:val="4ABA672D"/>
    <w:rsid w:val="4B5A31E5"/>
    <w:rsid w:val="4BE631BD"/>
    <w:rsid w:val="4BFA2159"/>
    <w:rsid w:val="4C097A15"/>
    <w:rsid w:val="4D2C295F"/>
    <w:rsid w:val="510E5CE7"/>
    <w:rsid w:val="51374011"/>
    <w:rsid w:val="52B7716F"/>
    <w:rsid w:val="52CD1815"/>
    <w:rsid w:val="52DB2DF6"/>
    <w:rsid w:val="54044FB7"/>
    <w:rsid w:val="553C72F9"/>
    <w:rsid w:val="55A7525B"/>
    <w:rsid w:val="5641747C"/>
    <w:rsid w:val="566E7823"/>
    <w:rsid w:val="574B3E6B"/>
    <w:rsid w:val="58A0262C"/>
    <w:rsid w:val="58DB4EF0"/>
    <w:rsid w:val="591850B4"/>
    <w:rsid w:val="595E05AC"/>
    <w:rsid w:val="59797A66"/>
    <w:rsid w:val="5B152921"/>
    <w:rsid w:val="5C7402B9"/>
    <w:rsid w:val="5D8014F9"/>
    <w:rsid w:val="5E710B1A"/>
    <w:rsid w:val="5F5D0759"/>
    <w:rsid w:val="61273712"/>
    <w:rsid w:val="62B36883"/>
    <w:rsid w:val="63043D0B"/>
    <w:rsid w:val="639F3A33"/>
    <w:rsid w:val="641B7EFE"/>
    <w:rsid w:val="64E42046"/>
    <w:rsid w:val="674C5042"/>
    <w:rsid w:val="678418BE"/>
    <w:rsid w:val="697737F3"/>
    <w:rsid w:val="69CD2AE3"/>
    <w:rsid w:val="6B01232E"/>
    <w:rsid w:val="6B250CC2"/>
    <w:rsid w:val="6C0E5BFA"/>
    <w:rsid w:val="6E2C6AC6"/>
    <w:rsid w:val="6EFF182A"/>
    <w:rsid w:val="700C2451"/>
    <w:rsid w:val="70391DC3"/>
    <w:rsid w:val="738D38A8"/>
    <w:rsid w:val="742D6406"/>
    <w:rsid w:val="757C1E26"/>
    <w:rsid w:val="75A90F84"/>
    <w:rsid w:val="76320737"/>
    <w:rsid w:val="76CC0B8C"/>
    <w:rsid w:val="79CB6ED9"/>
    <w:rsid w:val="7A2B7977"/>
    <w:rsid w:val="7B0C1557"/>
    <w:rsid w:val="7B2965AD"/>
    <w:rsid w:val="7C5533D1"/>
    <w:rsid w:val="7D6B2EAC"/>
    <w:rsid w:val="7EC5039A"/>
    <w:rsid w:val="7F432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qFormat="1" w:uiPriority="99"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qFormat="1"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71"/>
    <w:qFormat/>
    <w:uiPriority w:val="0"/>
    <w:pPr>
      <w:keepNext/>
      <w:keepLines/>
      <w:spacing w:before="340" w:after="330" w:line="576" w:lineRule="auto"/>
      <w:outlineLvl w:val="0"/>
    </w:pPr>
    <w:rPr>
      <w:rFonts w:ascii="Calibri" w:hAnsi="Calibri" w:eastAsia="宋体" w:cs="Times New Roman"/>
      <w:b/>
      <w:kern w:val="44"/>
      <w:sz w:val="44"/>
      <w:szCs w:val="20"/>
    </w:rPr>
  </w:style>
  <w:style w:type="paragraph" w:styleId="5">
    <w:name w:val="heading 2"/>
    <w:basedOn w:val="1"/>
    <w:next w:val="1"/>
    <w:link w:val="72"/>
    <w:qFormat/>
    <w:uiPriority w:val="0"/>
    <w:pPr>
      <w:keepNext/>
      <w:keepLines/>
      <w:spacing w:before="260" w:after="260" w:line="413" w:lineRule="auto"/>
      <w:outlineLvl w:val="1"/>
    </w:pPr>
    <w:rPr>
      <w:rFonts w:ascii="Arial" w:hAnsi="Arial" w:eastAsia="黑体" w:cs="Times New Roman"/>
      <w:b/>
      <w:sz w:val="32"/>
      <w:szCs w:val="20"/>
    </w:rPr>
  </w:style>
  <w:style w:type="paragraph" w:styleId="6">
    <w:name w:val="heading 3"/>
    <w:basedOn w:val="1"/>
    <w:next w:val="1"/>
    <w:link w:val="73"/>
    <w:qFormat/>
    <w:uiPriority w:val="0"/>
    <w:pPr>
      <w:keepNext/>
      <w:keepLines/>
      <w:spacing w:before="260" w:after="260" w:line="413" w:lineRule="auto"/>
      <w:outlineLvl w:val="2"/>
    </w:pPr>
    <w:rPr>
      <w:rFonts w:ascii="Calibri" w:hAnsi="Calibri" w:eastAsia="宋体" w:cs="Times New Roman"/>
      <w:b/>
      <w:sz w:val="32"/>
      <w:szCs w:val="20"/>
    </w:rPr>
  </w:style>
  <w:style w:type="paragraph" w:styleId="7">
    <w:name w:val="heading 4"/>
    <w:basedOn w:val="1"/>
    <w:next w:val="1"/>
    <w:link w:val="74"/>
    <w:qFormat/>
    <w:uiPriority w:val="0"/>
    <w:pPr>
      <w:keepNext/>
      <w:keepLines/>
      <w:pageBreakBefore/>
      <w:spacing w:before="120" w:line="360" w:lineRule="auto"/>
      <w:jc w:val="center"/>
      <w:outlineLvl w:val="3"/>
    </w:pPr>
    <w:rPr>
      <w:rFonts w:ascii="Arial" w:hAnsi="Arial" w:eastAsia="黑体" w:cs="Times New Roman"/>
      <w:b/>
      <w:bCs/>
      <w:sz w:val="28"/>
      <w:szCs w:val="28"/>
    </w:rPr>
  </w:style>
  <w:style w:type="paragraph" w:styleId="8">
    <w:name w:val="heading 5"/>
    <w:basedOn w:val="1"/>
    <w:next w:val="1"/>
    <w:link w:val="75"/>
    <w:qFormat/>
    <w:uiPriority w:val="0"/>
    <w:pPr>
      <w:pageBreakBefore/>
      <w:widowControl/>
      <w:spacing w:before="240" w:after="60"/>
      <w:jc w:val="center"/>
      <w:outlineLvl w:val="4"/>
    </w:pPr>
    <w:rPr>
      <w:rFonts w:ascii="Arial" w:hAnsi="Arial" w:eastAsia="黑体" w:cs="Times New Roman"/>
      <w:bCs/>
      <w:sz w:val="24"/>
      <w:szCs w:val="32"/>
    </w:rPr>
  </w:style>
  <w:style w:type="paragraph" w:styleId="9">
    <w:name w:val="heading 6"/>
    <w:basedOn w:val="1"/>
    <w:next w:val="1"/>
    <w:link w:val="76"/>
    <w:qFormat/>
    <w:uiPriority w:val="0"/>
    <w:pPr>
      <w:keepNext/>
      <w:keepLines/>
      <w:widowControl/>
      <w:tabs>
        <w:tab w:val="left" w:pos="1440"/>
      </w:tabs>
      <w:spacing w:before="240" w:after="64" w:line="316" w:lineRule="auto"/>
      <w:ind w:left="1152" w:hanging="1152"/>
      <w:jc w:val="left"/>
      <w:outlineLvl w:val="5"/>
    </w:pPr>
    <w:rPr>
      <w:rFonts w:ascii="Arial" w:hAnsi="Arial" w:eastAsia="黑体" w:cs="Times New Roman"/>
      <w:b/>
      <w:bCs/>
      <w:kern w:val="0"/>
      <w:sz w:val="24"/>
      <w:szCs w:val="20"/>
    </w:rPr>
  </w:style>
  <w:style w:type="paragraph" w:styleId="10">
    <w:name w:val="heading 7"/>
    <w:basedOn w:val="1"/>
    <w:next w:val="1"/>
    <w:link w:val="77"/>
    <w:qFormat/>
    <w:uiPriority w:val="0"/>
    <w:pPr>
      <w:keepNext/>
      <w:keepLines/>
      <w:widowControl/>
      <w:numPr>
        <w:ilvl w:val="6"/>
        <w:numId w:val="1"/>
      </w:numPr>
      <w:tabs>
        <w:tab w:val="left" w:pos="2520"/>
      </w:tabs>
      <w:spacing w:before="240" w:after="64" w:line="316" w:lineRule="auto"/>
      <w:ind w:left="1296" w:hanging="1296"/>
      <w:jc w:val="left"/>
      <w:outlineLvl w:val="6"/>
    </w:pPr>
    <w:rPr>
      <w:rFonts w:ascii="Calibri" w:hAnsi="Calibri" w:eastAsia="宋体" w:cs="Times New Roman"/>
      <w:b/>
      <w:bCs/>
      <w:kern w:val="0"/>
      <w:sz w:val="24"/>
      <w:szCs w:val="20"/>
    </w:rPr>
  </w:style>
  <w:style w:type="paragraph" w:styleId="11">
    <w:name w:val="heading 8"/>
    <w:basedOn w:val="1"/>
    <w:next w:val="1"/>
    <w:link w:val="78"/>
    <w:qFormat/>
    <w:uiPriority w:val="0"/>
    <w:pPr>
      <w:keepNext/>
      <w:keepLines/>
      <w:widowControl/>
      <w:numPr>
        <w:ilvl w:val="7"/>
        <w:numId w:val="1"/>
      </w:numPr>
      <w:tabs>
        <w:tab w:val="left" w:pos="1440"/>
      </w:tabs>
      <w:spacing w:before="240" w:after="64" w:line="316" w:lineRule="auto"/>
      <w:ind w:left="1440" w:hanging="1440"/>
      <w:jc w:val="left"/>
      <w:outlineLvl w:val="7"/>
    </w:pPr>
    <w:rPr>
      <w:rFonts w:ascii="Arial" w:hAnsi="Arial" w:eastAsia="黑体" w:cs="Times New Roman"/>
      <w:kern w:val="0"/>
      <w:sz w:val="24"/>
      <w:szCs w:val="20"/>
    </w:rPr>
  </w:style>
  <w:style w:type="paragraph" w:styleId="12">
    <w:name w:val="heading 9"/>
    <w:basedOn w:val="1"/>
    <w:next w:val="1"/>
    <w:link w:val="79"/>
    <w:qFormat/>
    <w:uiPriority w:val="0"/>
    <w:pPr>
      <w:keepNext/>
      <w:keepLines/>
      <w:widowControl/>
      <w:numPr>
        <w:ilvl w:val="8"/>
        <w:numId w:val="1"/>
      </w:numPr>
      <w:tabs>
        <w:tab w:val="left" w:pos="1584"/>
      </w:tabs>
      <w:spacing w:before="240" w:after="64" w:line="316" w:lineRule="auto"/>
      <w:ind w:left="1584" w:hanging="1584"/>
      <w:jc w:val="left"/>
      <w:outlineLvl w:val="8"/>
    </w:pPr>
    <w:rPr>
      <w:rFonts w:ascii="Arial" w:hAnsi="Arial" w:eastAsia="黑体" w:cs="Times New Roman"/>
      <w:kern w:val="0"/>
      <w:sz w:val="20"/>
      <w:szCs w:val="21"/>
    </w:rPr>
  </w:style>
  <w:style w:type="character" w:default="1" w:styleId="56">
    <w:name w:val="Default Paragraph Font"/>
    <w:unhideWhenUsed/>
    <w:qFormat/>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236"/>
    <w:unhideWhenUsed/>
    <w:qFormat/>
    <w:uiPriority w:val="0"/>
    <w:pPr>
      <w:widowControl w:val="0"/>
      <w:spacing w:before="0" w:beforeAutospacing="0" w:after="120" w:afterAutospacing="0"/>
      <w:ind w:firstLine="420"/>
      <w:jc w:val="both"/>
    </w:pPr>
    <w:rPr>
      <w:rFonts w:ascii="Times New Roman" w:hAnsi="Times New Roman" w:cs="Times New Roman"/>
      <w:sz w:val="20"/>
      <w:szCs w:val="20"/>
    </w:rPr>
  </w:style>
  <w:style w:type="paragraph" w:styleId="3">
    <w:name w:val="Body Text"/>
    <w:basedOn w:val="1"/>
    <w:next w:val="1"/>
    <w:link w:val="67"/>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oc 7"/>
    <w:basedOn w:val="1"/>
    <w:next w:val="1"/>
    <w:unhideWhenUsed/>
    <w:qFormat/>
    <w:uiPriority w:val="0"/>
    <w:pPr>
      <w:ind w:left="1260"/>
      <w:jc w:val="left"/>
    </w:pPr>
    <w:rPr>
      <w:rFonts w:ascii="Calibri" w:hAnsi="Calibri" w:eastAsia="宋体" w:cs="Times New Roman"/>
      <w:sz w:val="18"/>
      <w:szCs w:val="18"/>
    </w:rPr>
  </w:style>
  <w:style w:type="paragraph" w:styleId="14">
    <w:name w:val="List Bullet 4"/>
    <w:basedOn w:val="1"/>
    <w:qFormat/>
    <w:uiPriority w:val="0"/>
    <w:pPr>
      <w:tabs>
        <w:tab w:val="left" w:pos="1620"/>
      </w:tabs>
      <w:ind w:left="1620" w:leftChars="600" w:hanging="360" w:hangingChars="200"/>
    </w:pPr>
    <w:rPr>
      <w:rFonts w:ascii="Times New Roman" w:hAnsi="Times New Roman" w:eastAsia="宋体" w:cs="Times New Roman"/>
      <w:szCs w:val="24"/>
    </w:rPr>
  </w:style>
  <w:style w:type="paragraph" w:styleId="15">
    <w:name w:val="Normal Indent"/>
    <w:basedOn w:val="1"/>
    <w:link w:val="212"/>
    <w:unhideWhenUsed/>
    <w:qFormat/>
    <w:uiPriority w:val="0"/>
    <w:pPr>
      <w:ind w:firstLine="420" w:firstLineChars="200"/>
    </w:p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tabs>
        <w:tab w:val="left" w:pos="360"/>
      </w:tabs>
      <w:ind w:left="360" w:hanging="360" w:hangingChars="200"/>
    </w:pPr>
    <w:rPr>
      <w:rFonts w:ascii="Times New Roman" w:hAnsi="Times New Roman" w:eastAsia="宋体" w:cs="Times New Roman"/>
      <w:szCs w:val="24"/>
    </w:rPr>
  </w:style>
  <w:style w:type="paragraph" w:styleId="18">
    <w:name w:val="Document Map"/>
    <w:basedOn w:val="1"/>
    <w:link w:val="240"/>
    <w:unhideWhenUsed/>
    <w:qFormat/>
    <w:uiPriority w:val="0"/>
    <w:pPr>
      <w:shd w:val="clear" w:color="auto" w:fill="000080"/>
    </w:pPr>
    <w:rPr>
      <w:rFonts w:ascii="Calibri" w:hAnsi="Calibri" w:eastAsia="宋体" w:cs="Times New Roman"/>
    </w:rPr>
  </w:style>
  <w:style w:type="paragraph" w:styleId="19">
    <w:name w:val="annotation text"/>
    <w:basedOn w:val="1"/>
    <w:link w:val="222"/>
    <w:unhideWhenUsed/>
    <w:qFormat/>
    <w:uiPriority w:val="0"/>
    <w:pPr>
      <w:jc w:val="left"/>
    </w:pPr>
    <w:rPr>
      <w:rFonts w:ascii="Times New Roman" w:hAnsi="Times New Roman" w:eastAsia="宋体" w:cs="Times New Roman"/>
      <w:szCs w:val="24"/>
    </w:rPr>
  </w:style>
  <w:style w:type="paragraph" w:styleId="20">
    <w:name w:val="Body Text 3"/>
    <w:basedOn w:val="1"/>
    <w:link w:val="70"/>
    <w:unhideWhenUsed/>
    <w:qFormat/>
    <w:uiPriority w:val="0"/>
    <w:pPr>
      <w:spacing w:after="120"/>
    </w:pPr>
    <w:rPr>
      <w:sz w:val="16"/>
      <w:szCs w:val="16"/>
    </w:rPr>
  </w:style>
  <w:style w:type="paragraph" w:styleId="21">
    <w:name w:val="List Bullet 3"/>
    <w:basedOn w:val="1"/>
    <w:qFormat/>
    <w:uiPriority w:val="0"/>
    <w:pPr>
      <w:tabs>
        <w:tab w:val="left" w:pos="1200"/>
      </w:tabs>
      <w:ind w:left="1200" w:leftChars="400" w:hanging="360" w:hangingChars="200"/>
    </w:pPr>
    <w:rPr>
      <w:rFonts w:ascii="Times New Roman" w:hAnsi="Times New Roman" w:eastAsia="宋体" w:cs="Times New Roman"/>
      <w:szCs w:val="24"/>
    </w:rPr>
  </w:style>
  <w:style w:type="paragraph" w:styleId="22">
    <w:name w:val="Body Text Indent"/>
    <w:basedOn w:val="1"/>
    <w:next w:val="23"/>
    <w:link w:val="68"/>
    <w:unhideWhenUsed/>
    <w:qFormat/>
    <w:uiPriority w:val="0"/>
    <w:pPr>
      <w:spacing w:after="120"/>
      <w:ind w:left="420" w:leftChars="200"/>
    </w:pPr>
  </w:style>
  <w:style w:type="paragraph" w:styleId="23">
    <w:name w:val="envelope return"/>
    <w:basedOn w:val="1"/>
    <w:unhideWhenUsed/>
    <w:qFormat/>
    <w:uiPriority w:val="99"/>
    <w:pPr>
      <w:snapToGrid w:val="0"/>
    </w:pPr>
    <w:rPr>
      <w:rFonts w:ascii="Arial" w:hAnsi="Arial" w:eastAsia="宋体" w:cs="Times New Roman"/>
    </w:rPr>
  </w:style>
  <w:style w:type="paragraph" w:styleId="24">
    <w:name w:val="List Bullet 2"/>
    <w:basedOn w:val="1"/>
    <w:qFormat/>
    <w:uiPriority w:val="0"/>
    <w:pPr>
      <w:tabs>
        <w:tab w:val="left" w:pos="780"/>
      </w:tabs>
      <w:ind w:left="780" w:leftChars="200" w:hanging="360" w:hangingChars="200"/>
    </w:pPr>
    <w:rPr>
      <w:rFonts w:ascii="Times New Roman" w:hAnsi="Times New Roman" w:eastAsia="宋体" w:cs="Times New Roman"/>
      <w:szCs w:val="24"/>
    </w:rPr>
  </w:style>
  <w:style w:type="paragraph" w:styleId="25">
    <w:name w:val="index 4"/>
    <w:basedOn w:val="1"/>
    <w:next w:val="1"/>
    <w:qFormat/>
    <w:uiPriority w:val="0"/>
    <w:pPr>
      <w:ind w:left="600" w:leftChars="600"/>
    </w:pPr>
    <w:rPr>
      <w:rFonts w:ascii="Times New Roman" w:hAnsi="Times New Roman" w:eastAsia="宋体" w:cs="Times New Roman"/>
      <w:szCs w:val="24"/>
    </w:rPr>
  </w:style>
  <w:style w:type="paragraph" w:styleId="26">
    <w:name w:val="toc 5"/>
    <w:basedOn w:val="1"/>
    <w:next w:val="1"/>
    <w:unhideWhenUsed/>
    <w:qFormat/>
    <w:uiPriority w:val="0"/>
    <w:pPr>
      <w:ind w:left="840"/>
      <w:jc w:val="left"/>
    </w:pPr>
    <w:rPr>
      <w:rFonts w:ascii="Calibri" w:hAnsi="Calibri" w:eastAsia="宋体" w:cs="Times New Roman"/>
      <w:sz w:val="18"/>
      <w:szCs w:val="18"/>
    </w:rPr>
  </w:style>
  <w:style w:type="paragraph" w:styleId="27">
    <w:name w:val="toc 3"/>
    <w:basedOn w:val="1"/>
    <w:next w:val="1"/>
    <w:unhideWhenUsed/>
    <w:qFormat/>
    <w:uiPriority w:val="0"/>
    <w:pPr>
      <w:ind w:left="420"/>
      <w:jc w:val="left"/>
    </w:pPr>
    <w:rPr>
      <w:rFonts w:ascii="Calibri" w:hAnsi="Calibri" w:eastAsia="宋体" w:cs="Times New Roman"/>
      <w:i/>
      <w:iCs/>
      <w:sz w:val="20"/>
      <w:szCs w:val="20"/>
    </w:rPr>
  </w:style>
  <w:style w:type="paragraph" w:styleId="28">
    <w:name w:val="Plain Text"/>
    <w:basedOn w:val="1"/>
    <w:link w:val="179"/>
    <w:unhideWhenUsed/>
    <w:qFormat/>
    <w:uiPriority w:val="99"/>
    <w:rPr>
      <w:rFonts w:ascii="Courier New" w:hAnsi="Courier New" w:eastAsia="宋体" w:cs="Times New Roman"/>
      <w:szCs w:val="20"/>
    </w:rPr>
  </w:style>
  <w:style w:type="paragraph" w:styleId="29">
    <w:name w:val="List Bullet 5"/>
    <w:basedOn w:val="1"/>
    <w:qFormat/>
    <w:uiPriority w:val="0"/>
    <w:pPr>
      <w:tabs>
        <w:tab w:val="left" w:pos="2040"/>
      </w:tabs>
      <w:ind w:left="2040" w:leftChars="800" w:hanging="360" w:hangingChars="200"/>
    </w:pPr>
    <w:rPr>
      <w:rFonts w:ascii="Times New Roman" w:hAnsi="Times New Roman" w:eastAsia="宋体" w:cs="Times New Roman"/>
      <w:szCs w:val="24"/>
    </w:rPr>
  </w:style>
  <w:style w:type="paragraph" w:styleId="30">
    <w:name w:val="toc 8"/>
    <w:basedOn w:val="1"/>
    <w:next w:val="1"/>
    <w:unhideWhenUsed/>
    <w:qFormat/>
    <w:uiPriority w:val="0"/>
    <w:pPr>
      <w:ind w:left="1470"/>
      <w:jc w:val="left"/>
    </w:pPr>
    <w:rPr>
      <w:rFonts w:ascii="Calibri" w:hAnsi="Calibri" w:eastAsia="宋体" w:cs="Times New Roman"/>
      <w:sz w:val="18"/>
      <w:szCs w:val="18"/>
    </w:rPr>
  </w:style>
  <w:style w:type="paragraph" w:styleId="31">
    <w:name w:val="Date"/>
    <w:basedOn w:val="1"/>
    <w:next w:val="1"/>
    <w:link w:val="218"/>
    <w:unhideWhenUsed/>
    <w:qFormat/>
    <w:uiPriority w:val="0"/>
    <w:rPr>
      <w:rFonts w:ascii="Calibri" w:hAnsi="Calibri" w:eastAsia="宋体" w:cs="Times New Roman"/>
      <w:sz w:val="24"/>
      <w:szCs w:val="20"/>
    </w:rPr>
  </w:style>
  <w:style w:type="paragraph" w:styleId="32">
    <w:name w:val="Body Text Indent 2"/>
    <w:basedOn w:val="1"/>
    <w:link w:val="196"/>
    <w:unhideWhenUsed/>
    <w:qFormat/>
    <w:uiPriority w:val="0"/>
    <w:pPr>
      <w:spacing w:line="400" w:lineRule="exact"/>
      <w:ind w:left="425"/>
    </w:pPr>
    <w:rPr>
      <w:rFonts w:ascii="Times New Roman" w:hAnsi="Times New Roman" w:eastAsia="宋体" w:cs="Times New Roman"/>
      <w:color w:val="000000"/>
      <w:kern w:val="0"/>
      <w:sz w:val="24"/>
      <w:szCs w:val="20"/>
    </w:rPr>
  </w:style>
  <w:style w:type="paragraph" w:styleId="33">
    <w:name w:val="endnote text"/>
    <w:basedOn w:val="1"/>
    <w:link w:val="191"/>
    <w:qFormat/>
    <w:uiPriority w:val="0"/>
    <w:pPr>
      <w:snapToGrid w:val="0"/>
      <w:jc w:val="left"/>
    </w:pPr>
    <w:rPr>
      <w:szCs w:val="24"/>
    </w:rPr>
  </w:style>
  <w:style w:type="paragraph" w:styleId="34">
    <w:name w:val="Balloon Text"/>
    <w:basedOn w:val="1"/>
    <w:link w:val="125"/>
    <w:unhideWhenUsed/>
    <w:qFormat/>
    <w:uiPriority w:val="99"/>
    <w:rPr>
      <w:rFonts w:ascii="Calibri" w:hAnsi="Calibri" w:eastAsia="宋体" w:cs="Times New Roman"/>
      <w:sz w:val="18"/>
      <w:szCs w:val="18"/>
    </w:rPr>
  </w:style>
  <w:style w:type="paragraph" w:styleId="35">
    <w:name w:val="footer"/>
    <w:basedOn w:val="1"/>
    <w:link w:val="231"/>
    <w:unhideWhenUsed/>
    <w:qFormat/>
    <w:uiPriority w:val="99"/>
    <w:pPr>
      <w:tabs>
        <w:tab w:val="center" w:pos="4153"/>
        <w:tab w:val="right" w:pos="8306"/>
      </w:tabs>
      <w:snapToGrid w:val="0"/>
      <w:jc w:val="left"/>
    </w:pPr>
    <w:rPr>
      <w:sz w:val="18"/>
      <w:szCs w:val="18"/>
    </w:rPr>
  </w:style>
  <w:style w:type="paragraph" w:styleId="36">
    <w:name w:val="header"/>
    <w:basedOn w:val="1"/>
    <w:link w:val="175"/>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unhideWhenUsed/>
    <w:qFormat/>
    <w:uiPriority w:val="39"/>
    <w:pPr>
      <w:spacing w:before="120" w:after="120"/>
      <w:jc w:val="left"/>
    </w:pPr>
    <w:rPr>
      <w:rFonts w:ascii="Calibri" w:hAnsi="Calibri" w:eastAsia="宋体" w:cs="Times New Roman"/>
      <w:b/>
      <w:bCs/>
      <w:caps/>
      <w:sz w:val="24"/>
      <w:szCs w:val="20"/>
    </w:rPr>
  </w:style>
  <w:style w:type="paragraph" w:styleId="38">
    <w:name w:val="toc 4"/>
    <w:basedOn w:val="1"/>
    <w:next w:val="1"/>
    <w:unhideWhenUsed/>
    <w:qFormat/>
    <w:uiPriority w:val="0"/>
    <w:pPr>
      <w:ind w:left="630"/>
      <w:jc w:val="left"/>
    </w:pPr>
    <w:rPr>
      <w:rFonts w:ascii="Calibri" w:hAnsi="Calibri" w:eastAsia="宋体" w:cs="Times New Roman"/>
      <w:sz w:val="18"/>
      <w:szCs w:val="18"/>
    </w:rPr>
  </w:style>
  <w:style w:type="paragraph" w:styleId="39">
    <w:name w:val="Subtitle"/>
    <w:basedOn w:val="1"/>
    <w:next w:val="1"/>
    <w:link w:val="223"/>
    <w:qFormat/>
    <w:uiPriority w:val="0"/>
    <w:pPr>
      <w:widowControl/>
      <w:spacing w:after="60"/>
      <w:jc w:val="center"/>
      <w:outlineLvl w:val="1"/>
    </w:pPr>
    <w:rPr>
      <w:rFonts w:ascii="Arial" w:hAnsi="Arial" w:eastAsia="黑体" w:cs="Times New Roman"/>
      <w:b/>
      <w:bCs/>
      <w:sz w:val="32"/>
      <w:szCs w:val="32"/>
    </w:rPr>
  </w:style>
  <w:style w:type="paragraph" w:styleId="40">
    <w:name w:val="footnote text"/>
    <w:basedOn w:val="1"/>
    <w:link w:val="142"/>
    <w:unhideWhenUsed/>
    <w:qFormat/>
    <w:uiPriority w:val="0"/>
    <w:rPr>
      <w:rFonts w:ascii="Calibri" w:hAnsi="Calibri" w:eastAsia="宋体" w:cs="Times New Roman"/>
      <w:sz w:val="20"/>
      <w:szCs w:val="20"/>
    </w:rPr>
  </w:style>
  <w:style w:type="paragraph" w:styleId="41">
    <w:name w:val="toc 6"/>
    <w:basedOn w:val="1"/>
    <w:next w:val="1"/>
    <w:unhideWhenUsed/>
    <w:qFormat/>
    <w:uiPriority w:val="0"/>
    <w:pPr>
      <w:ind w:left="1050"/>
      <w:jc w:val="left"/>
    </w:pPr>
    <w:rPr>
      <w:rFonts w:ascii="Calibri" w:hAnsi="Calibri" w:eastAsia="宋体" w:cs="Times New Roman"/>
      <w:sz w:val="18"/>
      <w:szCs w:val="18"/>
    </w:rPr>
  </w:style>
  <w:style w:type="paragraph" w:styleId="42">
    <w:name w:val="Body Text Indent 3"/>
    <w:basedOn w:val="1"/>
    <w:link w:val="110"/>
    <w:unhideWhenUsed/>
    <w:qFormat/>
    <w:uiPriority w:val="0"/>
    <w:pPr>
      <w:spacing w:after="120"/>
      <w:ind w:left="420" w:leftChars="200"/>
    </w:pPr>
    <w:rPr>
      <w:rFonts w:ascii="Calibri" w:hAnsi="Calibri" w:eastAsia="宋体" w:cs="Times New Roman"/>
      <w:sz w:val="16"/>
      <w:szCs w:val="16"/>
    </w:rPr>
  </w:style>
  <w:style w:type="paragraph" w:styleId="43">
    <w:name w:val="table of figures"/>
    <w:basedOn w:val="1"/>
    <w:next w:val="1"/>
    <w:unhideWhenUsed/>
    <w:qFormat/>
    <w:uiPriority w:val="0"/>
    <w:pPr>
      <w:ind w:left="200" w:leftChars="200" w:hanging="200" w:hangingChars="200"/>
    </w:pPr>
    <w:rPr>
      <w:rFonts w:ascii="Calibri" w:hAnsi="Calibri" w:eastAsia="宋体" w:cs="Times New Roman"/>
    </w:rPr>
  </w:style>
  <w:style w:type="paragraph" w:styleId="44">
    <w:name w:val="toc 2"/>
    <w:basedOn w:val="1"/>
    <w:next w:val="1"/>
    <w:unhideWhenUsed/>
    <w:qFormat/>
    <w:uiPriority w:val="0"/>
    <w:pPr>
      <w:ind w:left="210"/>
      <w:jc w:val="left"/>
    </w:pPr>
    <w:rPr>
      <w:rFonts w:ascii="Calibri" w:hAnsi="Calibri" w:eastAsia="宋体" w:cs="Times New Roman"/>
      <w:smallCaps/>
      <w:sz w:val="20"/>
      <w:szCs w:val="20"/>
    </w:rPr>
  </w:style>
  <w:style w:type="paragraph" w:styleId="45">
    <w:name w:val="toc 9"/>
    <w:basedOn w:val="1"/>
    <w:next w:val="1"/>
    <w:unhideWhenUsed/>
    <w:qFormat/>
    <w:uiPriority w:val="0"/>
    <w:pPr>
      <w:ind w:left="1680"/>
      <w:jc w:val="left"/>
    </w:pPr>
    <w:rPr>
      <w:rFonts w:ascii="Calibri" w:hAnsi="Calibri" w:eastAsia="宋体" w:cs="Times New Roman"/>
      <w:sz w:val="18"/>
      <w:szCs w:val="18"/>
    </w:rPr>
  </w:style>
  <w:style w:type="paragraph" w:styleId="46">
    <w:name w:val="Body Text 2"/>
    <w:basedOn w:val="1"/>
    <w:link w:val="185"/>
    <w:unhideWhenUsed/>
    <w:qFormat/>
    <w:uiPriority w:val="0"/>
    <w:pPr>
      <w:spacing w:line="500" w:lineRule="exact"/>
      <w:jc w:val="center"/>
    </w:pPr>
    <w:rPr>
      <w:rFonts w:ascii="Times New Roman" w:hAnsi="宋体" w:eastAsia="方正小标宋_GBK" w:cs="Times New Roman"/>
      <w:spacing w:val="-20"/>
      <w:kern w:val="0"/>
      <w:sz w:val="44"/>
      <w:szCs w:val="32"/>
    </w:rPr>
  </w:style>
  <w:style w:type="paragraph" w:styleId="4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48">
    <w:name w:val="index 1"/>
    <w:basedOn w:val="1"/>
    <w:next w:val="1"/>
    <w:unhideWhenUsed/>
    <w:qFormat/>
    <w:uiPriority w:val="0"/>
    <w:pPr>
      <w:spacing w:line="400" w:lineRule="exact"/>
      <w:ind w:firstLine="2205" w:firstLineChars="1050"/>
    </w:pPr>
    <w:rPr>
      <w:rFonts w:ascii="Times New Roman" w:hAnsi="Times New Roman" w:eastAsia="宋体" w:cs="Times New Roman"/>
      <w:szCs w:val="21"/>
    </w:rPr>
  </w:style>
  <w:style w:type="paragraph" w:styleId="49">
    <w:name w:val="Title"/>
    <w:basedOn w:val="1"/>
    <w:link w:val="147"/>
    <w:qFormat/>
    <w:uiPriority w:val="0"/>
    <w:pPr>
      <w:adjustRightInd w:val="0"/>
      <w:spacing w:before="240" w:after="60" w:line="420" w:lineRule="atLeast"/>
      <w:jc w:val="center"/>
      <w:outlineLvl w:val="0"/>
    </w:pPr>
    <w:rPr>
      <w:rFonts w:ascii="Arial" w:hAnsi="Arial" w:eastAsia="宋体" w:cs="Times New Roman"/>
      <w:b/>
      <w:kern w:val="0"/>
      <w:sz w:val="32"/>
      <w:szCs w:val="20"/>
    </w:rPr>
  </w:style>
  <w:style w:type="paragraph" w:styleId="50">
    <w:name w:val="annotation subject"/>
    <w:basedOn w:val="19"/>
    <w:next w:val="19"/>
    <w:link w:val="233"/>
    <w:unhideWhenUsed/>
    <w:qFormat/>
    <w:uiPriority w:val="0"/>
    <w:rPr>
      <w:b/>
      <w:bCs/>
    </w:rPr>
  </w:style>
  <w:style w:type="paragraph" w:styleId="51">
    <w:name w:val="Body Text First Indent 2"/>
    <w:basedOn w:val="22"/>
    <w:link w:val="69"/>
    <w:unhideWhenUsed/>
    <w:qFormat/>
    <w:uiPriority w:val="0"/>
    <w:pPr>
      <w:ind w:firstLine="420" w:firstLineChars="200"/>
    </w:p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Theme"/>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Table Professional"/>
    <w:basedOn w:val="5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57">
    <w:name w:val="Strong"/>
    <w:qFormat/>
    <w:uiPriority w:val="0"/>
    <w:rPr>
      <w:b/>
    </w:rPr>
  </w:style>
  <w:style w:type="character" w:styleId="58">
    <w:name w:val="endnote reference"/>
    <w:qFormat/>
    <w:uiPriority w:val="0"/>
    <w:rPr>
      <w:vertAlign w:val="superscript"/>
    </w:rPr>
  </w:style>
  <w:style w:type="character" w:styleId="59">
    <w:name w:val="page number"/>
    <w:basedOn w:val="56"/>
    <w:qFormat/>
    <w:uiPriority w:val="0"/>
  </w:style>
  <w:style w:type="character" w:styleId="60">
    <w:name w:val="FollowedHyperlink"/>
    <w:unhideWhenUsed/>
    <w:qFormat/>
    <w:uiPriority w:val="99"/>
    <w:rPr>
      <w:color w:val="800080"/>
      <w:u w:val="single"/>
    </w:rPr>
  </w:style>
  <w:style w:type="character" w:styleId="61">
    <w:name w:val="Emphasis"/>
    <w:qFormat/>
    <w:uiPriority w:val="0"/>
    <w:rPr>
      <w:color w:val="CC0000"/>
    </w:rPr>
  </w:style>
  <w:style w:type="character" w:styleId="62">
    <w:name w:val="Hyperlink"/>
    <w:basedOn w:val="56"/>
    <w:unhideWhenUsed/>
    <w:qFormat/>
    <w:uiPriority w:val="99"/>
    <w:rPr>
      <w:color w:val="0000FF"/>
      <w:u w:val="single"/>
    </w:rPr>
  </w:style>
  <w:style w:type="character" w:styleId="63">
    <w:name w:val="HTML Code"/>
    <w:qFormat/>
    <w:uiPriority w:val="0"/>
    <w:rPr>
      <w:rFonts w:ascii="Courier New" w:hAnsi="Courier New"/>
      <w:sz w:val="20"/>
      <w:szCs w:val="20"/>
    </w:rPr>
  </w:style>
  <w:style w:type="character" w:styleId="64">
    <w:name w:val="annotation reference"/>
    <w:unhideWhenUsed/>
    <w:qFormat/>
    <w:uiPriority w:val="0"/>
    <w:rPr>
      <w:sz w:val="21"/>
      <w:szCs w:val="21"/>
    </w:rPr>
  </w:style>
  <w:style w:type="character" w:styleId="65">
    <w:name w:val="footnote reference"/>
    <w:unhideWhenUsed/>
    <w:qFormat/>
    <w:uiPriority w:val="0"/>
    <w:rPr>
      <w:vertAlign w:val="superscript"/>
    </w:rPr>
  </w:style>
  <w:style w:type="paragraph" w:customStyle="1" w:styleId="66">
    <w:name w:val="首行缩进"/>
    <w:basedOn w:val="1"/>
    <w:qFormat/>
    <w:uiPriority w:val="0"/>
    <w:pPr>
      <w:ind w:firstLine="480" w:firstLineChars="200"/>
    </w:pPr>
    <w:rPr>
      <w:rFonts w:ascii="Times New Roman" w:hAnsi="Times New Roman"/>
      <w:szCs w:val="20"/>
      <w:lang w:val="zh-CN"/>
    </w:rPr>
  </w:style>
  <w:style w:type="character" w:customStyle="1" w:styleId="67">
    <w:name w:val="正文文本 Char"/>
    <w:basedOn w:val="56"/>
    <w:link w:val="3"/>
    <w:qFormat/>
    <w:uiPriority w:val="0"/>
    <w:rPr>
      <w:rFonts w:ascii="宋体" w:hAnsi="宋体" w:eastAsia="宋体" w:cs="宋体"/>
      <w:kern w:val="0"/>
      <w:sz w:val="24"/>
      <w:szCs w:val="24"/>
    </w:rPr>
  </w:style>
  <w:style w:type="character" w:customStyle="1" w:styleId="68">
    <w:name w:val="正文文本缩进 Char"/>
    <w:basedOn w:val="56"/>
    <w:link w:val="22"/>
    <w:qFormat/>
    <w:uiPriority w:val="0"/>
  </w:style>
  <w:style w:type="character" w:customStyle="1" w:styleId="69">
    <w:name w:val="正文首行缩进 2 Char"/>
    <w:basedOn w:val="68"/>
    <w:link w:val="51"/>
    <w:qFormat/>
    <w:uiPriority w:val="0"/>
  </w:style>
  <w:style w:type="character" w:customStyle="1" w:styleId="70">
    <w:name w:val="正文文本 3 Char"/>
    <w:basedOn w:val="56"/>
    <w:link w:val="20"/>
    <w:qFormat/>
    <w:uiPriority w:val="0"/>
    <w:rPr>
      <w:sz w:val="16"/>
      <w:szCs w:val="16"/>
    </w:rPr>
  </w:style>
  <w:style w:type="character" w:customStyle="1" w:styleId="71">
    <w:name w:val="标题 1 Char"/>
    <w:basedOn w:val="56"/>
    <w:link w:val="4"/>
    <w:qFormat/>
    <w:uiPriority w:val="0"/>
    <w:rPr>
      <w:rFonts w:ascii="Calibri" w:hAnsi="Calibri" w:eastAsia="宋体" w:cs="Times New Roman"/>
      <w:b/>
      <w:kern w:val="44"/>
      <w:sz w:val="44"/>
      <w:szCs w:val="20"/>
    </w:rPr>
  </w:style>
  <w:style w:type="character" w:customStyle="1" w:styleId="72">
    <w:name w:val="标题 2 Char"/>
    <w:basedOn w:val="56"/>
    <w:link w:val="5"/>
    <w:qFormat/>
    <w:uiPriority w:val="0"/>
    <w:rPr>
      <w:rFonts w:ascii="Arial" w:hAnsi="Arial" w:eastAsia="黑体" w:cs="Times New Roman"/>
      <w:b/>
      <w:sz w:val="32"/>
      <w:szCs w:val="20"/>
    </w:rPr>
  </w:style>
  <w:style w:type="character" w:customStyle="1" w:styleId="73">
    <w:name w:val="标题 3 Char"/>
    <w:basedOn w:val="56"/>
    <w:link w:val="6"/>
    <w:qFormat/>
    <w:uiPriority w:val="0"/>
    <w:rPr>
      <w:rFonts w:ascii="Calibri" w:hAnsi="Calibri" w:eastAsia="宋体" w:cs="Times New Roman"/>
      <w:b/>
      <w:sz w:val="32"/>
      <w:szCs w:val="20"/>
    </w:rPr>
  </w:style>
  <w:style w:type="character" w:customStyle="1" w:styleId="74">
    <w:name w:val="标题 4 Char"/>
    <w:basedOn w:val="56"/>
    <w:link w:val="7"/>
    <w:qFormat/>
    <w:uiPriority w:val="0"/>
    <w:rPr>
      <w:rFonts w:ascii="Arial" w:hAnsi="Arial" w:eastAsia="黑体" w:cs="Times New Roman"/>
      <w:b/>
      <w:bCs/>
      <w:sz w:val="28"/>
      <w:szCs w:val="28"/>
    </w:rPr>
  </w:style>
  <w:style w:type="character" w:customStyle="1" w:styleId="75">
    <w:name w:val="标题 5 Char"/>
    <w:basedOn w:val="56"/>
    <w:link w:val="8"/>
    <w:qFormat/>
    <w:uiPriority w:val="0"/>
    <w:rPr>
      <w:rFonts w:ascii="Arial" w:hAnsi="Arial" w:eastAsia="黑体" w:cs="Times New Roman"/>
      <w:bCs/>
      <w:sz w:val="24"/>
      <w:szCs w:val="32"/>
    </w:rPr>
  </w:style>
  <w:style w:type="character" w:customStyle="1" w:styleId="76">
    <w:name w:val="标题 6 Char"/>
    <w:basedOn w:val="56"/>
    <w:link w:val="9"/>
    <w:qFormat/>
    <w:uiPriority w:val="0"/>
    <w:rPr>
      <w:rFonts w:ascii="Arial" w:hAnsi="Arial" w:eastAsia="黑体" w:cs="Times New Roman"/>
      <w:b/>
      <w:bCs/>
      <w:kern w:val="0"/>
      <w:sz w:val="24"/>
      <w:szCs w:val="20"/>
    </w:rPr>
  </w:style>
  <w:style w:type="character" w:customStyle="1" w:styleId="77">
    <w:name w:val="标题 7 Char"/>
    <w:basedOn w:val="56"/>
    <w:link w:val="10"/>
    <w:qFormat/>
    <w:uiPriority w:val="0"/>
    <w:rPr>
      <w:rFonts w:ascii="Calibri" w:hAnsi="Calibri" w:eastAsia="宋体" w:cs="Times New Roman"/>
      <w:b/>
      <w:bCs/>
      <w:kern w:val="0"/>
      <w:sz w:val="24"/>
      <w:szCs w:val="20"/>
    </w:rPr>
  </w:style>
  <w:style w:type="character" w:customStyle="1" w:styleId="78">
    <w:name w:val="标题 8 Char"/>
    <w:basedOn w:val="56"/>
    <w:link w:val="11"/>
    <w:qFormat/>
    <w:uiPriority w:val="0"/>
    <w:rPr>
      <w:rFonts w:ascii="Arial" w:hAnsi="Arial" w:eastAsia="黑体" w:cs="Times New Roman"/>
      <w:kern w:val="0"/>
      <w:sz w:val="24"/>
      <w:szCs w:val="20"/>
    </w:rPr>
  </w:style>
  <w:style w:type="character" w:customStyle="1" w:styleId="79">
    <w:name w:val="标题 9 Char"/>
    <w:basedOn w:val="56"/>
    <w:link w:val="12"/>
    <w:qFormat/>
    <w:uiPriority w:val="0"/>
    <w:rPr>
      <w:rFonts w:ascii="Arial" w:hAnsi="Arial" w:eastAsia="黑体" w:cs="Times New Roman"/>
      <w:kern w:val="0"/>
      <w:sz w:val="20"/>
      <w:szCs w:val="21"/>
    </w:rPr>
  </w:style>
  <w:style w:type="character" w:customStyle="1" w:styleId="80">
    <w:name w:val="明显引用 Char"/>
    <w:link w:val="81"/>
    <w:qFormat/>
    <w:uiPriority w:val="0"/>
    <w:rPr>
      <w:rFonts w:ascii="Calibri" w:hAnsi="Calibri" w:eastAsia="宋体" w:cs="Times New Roman"/>
      <w:b/>
      <w:i/>
      <w:kern w:val="0"/>
      <w:sz w:val="24"/>
    </w:rPr>
  </w:style>
  <w:style w:type="paragraph" w:styleId="81">
    <w:name w:val="Intense Quote"/>
    <w:basedOn w:val="1"/>
    <w:next w:val="1"/>
    <w:link w:val="80"/>
    <w:qFormat/>
    <w:uiPriority w:val="0"/>
    <w:pPr>
      <w:widowControl/>
      <w:ind w:left="720" w:right="720"/>
      <w:jc w:val="left"/>
    </w:pPr>
    <w:rPr>
      <w:rFonts w:ascii="Calibri" w:hAnsi="Calibri" w:eastAsia="宋体" w:cs="Times New Roman"/>
      <w:b/>
      <w:i/>
      <w:kern w:val="0"/>
      <w:sz w:val="24"/>
    </w:rPr>
  </w:style>
  <w:style w:type="character" w:customStyle="1" w:styleId="82">
    <w:name w:val="HTML Markup"/>
    <w:qFormat/>
    <w:uiPriority w:val="0"/>
    <w:rPr>
      <w:vanish/>
      <w:color w:val="FF0000"/>
    </w:rPr>
  </w:style>
  <w:style w:type="character" w:customStyle="1" w:styleId="83">
    <w:name w:val="Char Char17"/>
    <w:qFormat/>
    <w:uiPriority w:val="0"/>
    <w:rPr>
      <w:rFonts w:ascii="Cambria" w:hAnsi="Cambria" w:eastAsia="宋体" w:cs="Times New Roman"/>
      <w:b/>
      <w:bCs/>
      <w:kern w:val="2"/>
      <w:sz w:val="32"/>
      <w:szCs w:val="32"/>
    </w:rPr>
  </w:style>
  <w:style w:type="character" w:customStyle="1" w:styleId="84">
    <w:name w:val="正文文本 Char1"/>
    <w:qFormat/>
    <w:uiPriority w:val="0"/>
    <w:rPr>
      <w:kern w:val="2"/>
      <w:sz w:val="21"/>
      <w:szCs w:val="22"/>
    </w:rPr>
  </w:style>
  <w:style w:type="character" w:customStyle="1" w:styleId="85">
    <w:name w:val="标题 1 Char_1"/>
    <w:link w:val="86"/>
    <w:qFormat/>
    <w:uiPriority w:val="0"/>
    <w:rPr>
      <w:rFonts w:ascii="Times New Roman" w:hAnsi="Times New Roman"/>
      <w:b/>
      <w:kern w:val="44"/>
      <w:sz w:val="44"/>
    </w:rPr>
  </w:style>
  <w:style w:type="paragraph" w:customStyle="1" w:styleId="86">
    <w:name w:val="标题 1_1"/>
    <w:basedOn w:val="87"/>
    <w:next w:val="87"/>
    <w:link w:val="85"/>
    <w:qFormat/>
    <w:uiPriority w:val="0"/>
    <w:pPr>
      <w:keepNext/>
      <w:keepLines/>
      <w:spacing w:before="340" w:after="330" w:line="576" w:lineRule="auto"/>
      <w:outlineLvl w:val="0"/>
    </w:pPr>
    <w:rPr>
      <w:rFonts w:ascii="Times New Roman" w:hAnsi="Times New Roman" w:eastAsiaTheme="minorEastAsia" w:cstheme="minorBidi"/>
      <w:b/>
      <w:kern w:val="44"/>
      <w:sz w:val="44"/>
      <w:szCs w:val="22"/>
    </w:rPr>
  </w:style>
  <w:style w:type="paragraph" w:customStyle="1" w:styleId="87">
    <w:name w:val="正文_3"/>
    <w:qFormat/>
    <w:uiPriority w:val="0"/>
    <w:pPr>
      <w:widowControl w:val="0"/>
      <w:jc w:val="both"/>
    </w:pPr>
    <w:rPr>
      <w:rFonts w:ascii="Calibri" w:hAnsi="Calibri" w:eastAsia="宋体" w:cs="Times New Roman"/>
      <w:kern w:val="2"/>
      <w:sz w:val="21"/>
      <w:lang w:val="en-US" w:eastAsia="zh-CN" w:bidi="ar-SA"/>
    </w:rPr>
  </w:style>
  <w:style w:type="character" w:customStyle="1" w:styleId="88">
    <w:name w:val="font161"/>
    <w:qFormat/>
    <w:uiPriority w:val="0"/>
    <w:rPr>
      <w:b/>
      <w:bCs/>
      <w:sz w:val="32"/>
      <w:szCs w:val="32"/>
    </w:rPr>
  </w:style>
  <w:style w:type="character" w:customStyle="1" w:styleId="89">
    <w:name w:val="不明显强调1"/>
    <w:qFormat/>
    <w:uiPriority w:val="0"/>
    <w:rPr>
      <w:i/>
      <w:color w:val="5A5A5A"/>
    </w:rPr>
  </w:style>
  <w:style w:type="character" w:customStyle="1" w:styleId="90">
    <w:name w:val="标题4 Char Char"/>
    <w:link w:val="91"/>
    <w:qFormat/>
    <w:uiPriority w:val="0"/>
    <w:rPr>
      <w:rFonts w:ascii="Arial" w:hAnsi="Arial"/>
      <w:b/>
      <w:bCs/>
      <w:sz w:val="24"/>
      <w:szCs w:val="32"/>
    </w:rPr>
  </w:style>
  <w:style w:type="paragraph" w:customStyle="1" w:styleId="91">
    <w:name w:val="标题4"/>
    <w:basedOn w:val="5"/>
    <w:next w:val="25"/>
    <w:link w:val="90"/>
    <w:qFormat/>
    <w:uiPriority w:val="0"/>
    <w:rPr>
      <w:rFonts w:eastAsiaTheme="minorEastAsia" w:cstheme="minorBidi"/>
      <w:bCs/>
      <w:sz w:val="24"/>
      <w:szCs w:val="32"/>
    </w:rPr>
  </w:style>
  <w:style w:type="character" w:customStyle="1" w:styleId="92">
    <w:name w:val="Char Char12"/>
    <w:qFormat/>
    <w:locked/>
    <w:uiPriority w:val="0"/>
    <w:rPr>
      <w:rFonts w:eastAsia="宋体"/>
      <w:b/>
      <w:bCs/>
      <w:kern w:val="2"/>
      <w:sz w:val="28"/>
      <w:szCs w:val="28"/>
      <w:lang w:bidi="ar-SA"/>
    </w:rPr>
  </w:style>
  <w:style w:type="character" w:customStyle="1" w:styleId="93">
    <w:name w:val="无间隔 Char"/>
    <w:link w:val="94"/>
    <w:qFormat/>
    <w:locked/>
    <w:uiPriority w:val="0"/>
    <w:rPr>
      <w:sz w:val="22"/>
    </w:rPr>
  </w:style>
  <w:style w:type="paragraph" w:styleId="94">
    <w:name w:val="No Spacing"/>
    <w:link w:val="93"/>
    <w:qFormat/>
    <w:uiPriority w:val="0"/>
    <w:rPr>
      <w:rFonts w:asciiTheme="minorHAnsi" w:hAnsiTheme="minorHAnsi" w:eastAsiaTheme="minorEastAsia" w:cstheme="minorBidi"/>
      <w:kern w:val="2"/>
      <w:sz w:val="22"/>
      <w:szCs w:val="22"/>
      <w:lang w:val="en-US" w:eastAsia="zh-CN" w:bidi="ar-SA"/>
    </w:rPr>
  </w:style>
  <w:style w:type="character" w:customStyle="1" w:styleId="95">
    <w:name w:val="Comment"/>
    <w:qFormat/>
    <w:uiPriority w:val="0"/>
    <w:rPr>
      <w:vanish/>
    </w:rPr>
  </w:style>
  <w:style w:type="character" w:customStyle="1" w:styleId="96">
    <w:name w:val="标题 2 Char_3"/>
    <w:link w:val="97"/>
    <w:qFormat/>
    <w:uiPriority w:val="0"/>
    <w:rPr>
      <w:rFonts w:ascii="Arial" w:hAnsi="Arial" w:eastAsia="黑体"/>
      <w:b/>
      <w:sz w:val="32"/>
    </w:rPr>
  </w:style>
  <w:style w:type="paragraph" w:customStyle="1" w:styleId="97">
    <w:name w:val="标题 2_3"/>
    <w:basedOn w:val="98"/>
    <w:next w:val="98"/>
    <w:link w:val="96"/>
    <w:qFormat/>
    <w:uiPriority w:val="0"/>
    <w:pPr>
      <w:keepNext/>
      <w:keepLines/>
      <w:spacing w:before="260" w:after="260" w:line="413" w:lineRule="auto"/>
      <w:outlineLvl w:val="1"/>
    </w:pPr>
    <w:rPr>
      <w:rFonts w:ascii="Arial" w:hAnsi="Arial" w:eastAsia="黑体" w:cstheme="minorBidi"/>
      <w:b/>
      <w:sz w:val="32"/>
      <w:szCs w:val="22"/>
    </w:rPr>
  </w:style>
  <w:style w:type="paragraph" w:customStyle="1" w:styleId="98">
    <w:name w:val="正文_5"/>
    <w:qFormat/>
    <w:uiPriority w:val="0"/>
    <w:pPr>
      <w:widowControl w:val="0"/>
      <w:jc w:val="both"/>
    </w:pPr>
    <w:rPr>
      <w:rFonts w:ascii="Calibri" w:hAnsi="Calibri" w:eastAsia="宋体" w:cs="Times New Roman"/>
      <w:kern w:val="2"/>
      <w:sz w:val="21"/>
      <w:lang w:val="en-US" w:eastAsia="zh-CN" w:bidi="ar-SA"/>
    </w:rPr>
  </w:style>
  <w:style w:type="character" w:customStyle="1" w:styleId="99">
    <w:name w:val="批注框文本 Char1"/>
    <w:qFormat/>
    <w:uiPriority w:val="0"/>
    <w:rPr>
      <w:kern w:val="2"/>
      <w:sz w:val="18"/>
      <w:szCs w:val="18"/>
    </w:rPr>
  </w:style>
  <w:style w:type="character" w:customStyle="1" w:styleId="100">
    <w:name w:val="副标题 Char1"/>
    <w:qFormat/>
    <w:uiPriority w:val="11"/>
    <w:rPr>
      <w:rFonts w:hint="default" w:ascii="Cambria" w:hAnsi="Cambria" w:cs="Times New Roman"/>
      <w:b/>
      <w:bCs/>
      <w:kern w:val="28"/>
      <w:sz w:val="32"/>
      <w:szCs w:val="32"/>
    </w:rPr>
  </w:style>
  <w:style w:type="character" w:customStyle="1" w:styleId="101">
    <w:name w:val="Char Char5"/>
    <w:qFormat/>
    <w:uiPriority w:val="0"/>
    <w:rPr>
      <w:rFonts w:eastAsia="黑体"/>
      <w:b/>
      <w:bCs/>
      <w:sz w:val="72"/>
      <w:szCs w:val="44"/>
      <w:lang w:val="en-US" w:eastAsia="zh-CN" w:bidi="ar-SA"/>
    </w:rPr>
  </w:style>
  <w:style w:type="character" w:customStyle="1" w:styleId="102">
    <w:name w:val="CODE"/>
    <w:qFormat/>
    <w:uiPriority w:val="0"/>
    <w:rPr>
      <w:rFonts w:ascii="Courier New" w:hAnsi="Courier New"/>
      <w:sz w:val="20"/>
    </w:rPr>
  </w:style>
  <w:style w:type="character" w:customStyle="1" w:styleId="103">
    <w:name w:val="Definition"/>
    <w:qFormat/>
    <w:uiPriority w:val="0"/>
    <w:rPr>
      <w:i/>
    </w:rPr>
  </w:style>
  <w:style w:type="character" w:customStyle="1" w:styleId="104">
    <w:name w:val="样式 Char"/>
    <w:link w:val="105"/>
    <w:qFormat/>
    <w:uiPriority w:val="0"/>
    <w:rPr>
      <w:rFonts w:ascii="Arial" w:hAnsi="Arial" w:eastAsia="黑体" w:cs="Times New Roman"/>
      <w:bCs/>
      <w:sz w:val="24"/>
      <w:szCs w:val="32"/>
    </w:rPr>
  </w:style>
  <w:style w:type="paragraph" w:customStyle="1" w:styleId="105">
    <w:name w:val="样式"/>
    <w:basedOn w:val="106"/>
    <w:link w:val="104"/>
    <w:qFormat/>
    <w:uiPriority w:val="0"/>
    <w:pPr>
      <w:outlineLvl w:val="9"/>
    </w:pPr>
  </w:style>
  <w:style w:type="paragraph" w:customStyle="1" w:styleId="106">
    <w:name w:val="标题5"/>
    <w:basedOn w:val="8"/>
    <w:link w:val="193"/>
    <w:qFormat/>
    <w:uiPriority w:val="0"/>
  </w:style>
  <w:style w:type="character" w:customStyle="1" w:styleId="107">
    <w:name w:val="标题 1 Char_0"/>
    <w:link w:val="108"/>
    <w:qFormat/>
    <w:uiPriority w:val="0"/>
    <w:rPr>
      <w:rFonts w:ascii="Times New Roman" w:hAnsi="Times New Roman"/>
      <w:b/>
      <w:kern w:val="44"/>
      <w:sz w:val="44"/>
    </w:rPr>
  </w:style>
  <w:style w:type="paragraph" w:customStyle="1" w:styleId="108">
    <w:name w:val="标题 1_0"/>
    <w:basedOn w:val="109"/>
    <w:next w:val="109"/>
    <w:link w:val="107"/>
    <w:qFormat/>
    <w:uiPriority w:val="0"/>
    <w:pPr>
      <w:keepNext/>
      <w:keepLines/>
      <w:spacing w:before="340" w:after="330" w:line="576" w:lineRule="auto"/>
      <w:outlineLvl w:val="0"/>
    </w:pPr>
    <w:rPr>
      <w:rFonts w:ascii="Times New Roman" w:hAnsi="Times New Roman" w:eastAsiaTheme="minorEastAsia" w:cstheme="minorBidi"/>
      <w:b/>
      <w:kern w:val="44"/>
      <w:sz w:val="44"/>
      <w:szCs w:val="22"/>
    </w:rPr>
  </w:style>
  <w:style w:type="paragraph" w:customStyle="1" w:styleId="109">
    <w:name w:val="正文_0"/>
    <w:qFormat/>
    <w:uiPriority w:val="0"/>
    <w:pPr>
      <w:widowControl w:val="0"/>
      <w:jc w:val="both"/>
    </w:pPr>
    <w:rPr>
      <w:rFonts w:ascii="Calibri" w:hAnsi="Calibri" w:eastAsia="宋体" w:cs="Times New Roman"/>
      <w:kern w:val="2"/>
      <w:sz w:val="21"/>
      <w:lang w:val="en-US" w:eastAsia="zh-CN" w:bidi="ar-SA"/>
    </w:rPr>
  </w:style>
  <w:style w:type="character" w:customStyle="1" w:styleId="110">
    <w:name w:val="正文文本缩进 3 Char"/>
    <w:link w:val="42"/>
    <w:qFormat/>
    <w:uiPriority w:val="0"/>
    <w:rPr>
      <w:rFonts w:ascii="Calibri" w:hAnsi="Calibri" w:eastAsia="宋体" w:cs="Times New Roman"/>
      <w:sz w:val="16"/>
      <w:szCs w:val="16"/>
    </w:rPr>
  </w:style>
  <w:style w:type="character" w:customStyle="1" w:styleId="111">
    <w:name w:val="ca-41"/>
    <w:qFormat/>
    <w:uiPriority w:val="0"/>
    <w:rPr>
      <w:rFonts w:hint="default" w:ascii="Times New Roman" w:hAnsi="Times New Roman" w:cs="Times New Roman"/>
      <w:color w:val="000000"/>
      <w:sz w:val="21"/>
      <w:szCs w:val="21"/>
    </w:rPr>
  </w:style>
  <w:style w:type="character" w:customStyle="1" w:styleId="112">
    <w:name w:val="CITE"/>
    <w:qFormat/>
    <w:uiPriority w:val="0"/>
    <w:rPr>
      <w:i/>
    </w:rPr>
  </w:style>
  <w:style w:type="character" w:customStyle="1" w:styleId="113">
    <w:name w:val="正文文本 3 Char2"/>
    <w:semiHidden/>
    <w:qFormat/>
    <w:uiPriority w:val="99"/>
    <w:rPr>
      <w:rFonts w:hint="default" w:ascii="Times New Roman" w:hAnsi="Times New Roman" w:cs="Times New Roman"/>
      <w:kern w:val="2"/>
      <w:sz w:val="16"/>
      <w:szCs w:val="16"/>
    </w:rPr>
  </w:style>
  <w:style w:type="character" w:customStyle="1" w:styleId="114">
    <w:name w:val="ca-61"/>
    <w:qFormat/>
    <w:uiPriority w:val="0"/>
    <w:rPr>
      <w:rFonts w:hint="default" w:ascii="Times New Roman" w:hAnsi="Times New Roman" w:cs="Times New Roman"/>
      <w:b/>
      <w:bCs/>
      <w:spacing w:val="-20"/>
      <w:sz w:val="21"/>
      <w:szCs w:val="21"/>
    </w:rPr>
  </w:style>
  <w:style w:type="character" w:customStyle="1" w:styleId="115">
    <w:name w:val="Char Char51"/>
    <w:qFormat/>
    <w:locked/>
    <w:uiPriority w:val="0"/>
    <w:rPr>
      <w:rFonts w:ascii="Calibri" w:hAnsi="Calibri"/>
      <w:kern w:val="2"/>
      <w:sz w:val="21"/>
      <w:szCs w:val="22"/>
      <w:lang w:bidi="ar-SA"/>
    </w:rPr>
  </w:style>
  <w:style w:type="character" w:customStyle="1" w:styleId="116">
    <w:name w:val="标题 2 Char Char"/>
    <w:qFormat/>
    <w:uiPriority w:val="0"/>
    <w:rPr>
      <w:rFonts w:ascii="Arial" w:hAnsi="Arial" w:eastAsia="黑体"/>
      <w:b/>
      <w:bCs/>
      <w:kern w:val="2"/>
      <w:sz w:val="32"/>
      <w:szCs w:val="32"/>
      <w:lang w:val="en-US" w:eastAsia="zh-CN"/>
    </w:rPr>
  </w:style>
  <w:style w:type="character" w:customStyle="1" w:styleId="117">
    <w:name w:val="正文文本缩进 Char1"/>
    <w:semiHidden/>
    <w:qFormat/>
    <w:uiPriority w:val="0"/>
    <w:rPr>
      <w:kern w:val="2"/>
      <w:sz w:val="21"/>
      <w:szCs w:val="22"/>
    </w:rPr>
  </w:style>
  <w:style w:type="character" w:customStyle="1" w:styleId="118">
    <w:name w:val="ca-71"/>
    <w:qFormat/>
    <w:uiPriority w:val="0"/>
    <w:rPr>
      <w:rFonts w:hint="eastAsia" w:ascii="宋体" w:hAnsi="宋体" w:eastAsia="宋体"/>
      <w:sz w:val="18"/>
      <w:szCs w:val="18"/>
    </w:rPr>
  </w:style>
  <w:style w:type="character" w:customStyle="1" w:styleId="119">
    <w:name w:val="content1_0_0"/>
    <w:qFormat/>
    <w:uiPriority w:val="0"/>
    <w:rPr>
      <w:sz w:val="21"/>
      <w:szCs w:val="21"/>
      <w:u w:val="single"/>
    </w:rPr>
  </w:style>
  <w:style w:type="character" w:customStyle="1" w:styleId="120">
    <w:name w:val="日期 Char1"/>
    <w:qFormat/>
    <w:uiPriority w:val="0"/>
    <w:rPr>
      <w:kern w:val="2"/>
      <w:sz w:val="21"/>
      <w:szCs w:val="22"/>
    </w:rPr>
  </w:style>
  <w:style w:type="character" w:customStyle="1" w:styleId="121">
    <w:name w:val="Char Char8"/>
    <w:qFormat/>
    <w:uiPriority w:val="0"/>
    <w:rPr>
      <w:rFonts w:ascii="Arial" w:hAnsi="Arial" w:eastAsia="黑体"/>
      <w:b/>
      <w:bCs/>
      <w:kern w:val="2"/>
      <w:sz w:val="32"/>
      <w:szCs w:val="32"/>
      <w:lang w:val="en-US" w:eastAsia="zh-CN" w:bidi="ar-SA"/>
    </w:rPr>
  </w:style>
  <w:style w:type="character" w:customStyle="1" w:styleId="122">
    <w:name w:val="grame"/>
    <w:qFormat/>
    <w:uiPriority w:val="0"/>
  </w:style>
  <w:style w:type="character" w:customStyle="1" w:styleId="123">
    <w:name w:val="bottom"/>
    <w:qFormat/>
    <w:uiPriority w:val="0"/>
  </w:style>
  <w:style w:type="character" w:customStyle="1" w:styleId="124">
    <w:name w:val="content1_0"/>
    <w:qFormat/>
    <w:uiPriority w:val="0"/>
    <w:rPr>
      <w:sz w:val="21"/>
      <w:szCs w:val="21"/>
      <w:u w:val="single"/>
    </w:rPr>
  </w:style>
  <w:style w:type="character" w:customStyle="1" w:styleId="125">
    <w:name w:val="批注框文本 Char"/>
    <w:link w:val="34"/>
    <w:qFormat/>
    <w:uiPriority w:val="99"/>
    <w:rPr>
      <w:rFonts w:ascii="Calibri" w:hAnsi="Calibri" w:eastAsia="宋体" w:cs="Times New Roman"/>
      <w:sz w:val="18"/>
      <w:szCs w:val="18"/>
    </w:rPr>
  </w:style>
  <w:style w:type="character" w:customStyle="1" w:styleId="126">
    <w:name w:val="textcontents"/>
    <w:qFormat/>
    <w:uiPriority w:val="0"/>
  </w:style>
  <w:style w:type="character" w:customStyle="1" w:styleId="127">
    <w:name w:val="Char Char"/>
    <w:qFormat/>
    <w:uiPriority w:val="0"/>
    <w:rPr>
      <w:rFonts w:eastAsia="宋体"/>
      <w:b/>
      <w:bCs/>
      <w:kern w:val="2"/>
      <w:sz w:val="21"/>
      <w:szCs w:val="24"/>
      <w:lang w:val="en-US" w:eastAsia="zh-CN" w:bidi="ar-SA"/>
    </w:rPr>
  </w:style>
  <w:style w:type="character" w:customStyle="1" w:styleId="128">
    <w:name w:val="标题 2 Char_1"/>
    <w:link w:val="129"/>
    <w:qFormat/>
    <w:uiPriority w:val="0"/>
    <w:rPr>
      <w:rFonts w:ascii="Arial" w:hAnsi="Arial" w:eastAsia="黑体"/>
      <w:b/>
      <w:bCs/>
      <w:sz w:val="32"/>
      <w:szCs w:val="32"/>
    </w:rPr>
  </w:style>
  <w:style w:type="paragraph" w:customStyle="1" w:styleId="129">
    <w:name w:val="标题 2_1"/>
    <w:basedOn w:val="130"/>
    <w:next w:val="130"/>
    <w:link w:val="128"/>
    <w:qFormat/>
    <w:uiPriority w:val="0"/>
    <w:pPr>
      <w:keepNext/>
      <w:keepLines/>
      <w:spacing w:before="260" w:after="260" w:line="415" w:lineRule="auto"/>
      <w:outlineLvl w:val="1"/>
    </w:pPr>
    <w:rPr>
      <w:rFonts w:ascii="Arial" w:hAnsi="Arial" w:eastAsia="黑体" w:cstheme="minorBidi"/>
      <w:b/>
      <w:bCs/>
      <w:sz w:val="32"/>
      <w:szCs w:val="32"/>
    </w:rPr>
  </w:style>
  <w:style w:type="paragraph" w:customStyle="1" w:styleId="130">
    <w:name w:val="正文_2"/>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1">
    <w:name w:val="样式 正文缩进正文（首行缩进两字）特点ALT+Z表正文正文非缩进四号段1Normal Indent Char2... Char"/>
    <w:qFormat/>
    <w:uiPriority w:val="0"/>
    <w:rPr>
      <w:rFonts w:hint="eastAsia" w:ascii="宋体" w:hAnsi="宋体" w:eastAsia="黑体"/>
      <w:b/>
      <w:sz w:val="32"/>
      <w:lang w:val="en-US" w:eastAsia="zh-CN"/>
    </w:rPr>
  </w:style>
  <w:style w:type="character" w:customStyle="1" w:styleId="132">
    <w:name w:val="标题 2 Char_1_0"/>
    <w:link w:val="133"/>
    <w:qFormat/>
    <w:uiPriority w:val="0"/>
    <w:rPr>
      <w:rFonts w:ascii="Arial" w:hAnsi="Arial" w:eastAsia="黑体"/>
      <w:b/>
      <w:bCs/>
      <w:sz w:val="32"/>
      <w:szCs w:val="32"/>
    </w:rPr>
  </w:style>
  <w:style w:type="paragraph" w:customStyle="1" w:styleId="133">
    <w:name w:val="标题 2_1_0"/>
    <w:basedOn w:val="134"/>
    <w:next w:val="134"/>
    <w:link w:val="132"/>
    <w:qFormat/>
    <w:uiPriority w:val="0"/>
    <w:pPr>
      <w:keepNext/>
      <w:keepLines/>
      <w:spacing w:before="260" w:after="260" w:line="415" w:lineRule="auto"/>
      <w:outlineLvl w:val="1"/>
    </w:pPr>
    <w:rPr>
      <w:rFonts w:ascii="Arial" w:hAnsi="Arial" w:eastAsia="黑体" w:cstheme="minorBidi"/>
      <w:b/>
      <w:bCs/>
      <w:sz w:val="32"/>
      <w:szCs w:val="32"/>
    </w:rPr>
  </w:style>
  <w:style w:type="paragraph" w:customStyle="1" w:styleId="134">
    <w:name w:val="正文_2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35">
    <w:name w:val="书籍标题1"/>
    <w:qFormat/>
    <w:uiPriority w:val="0"/>
    <w:rPr>
      <w:rFonts w:hint="default" w:ascii="Cambria" w:hAnsi="Cambria" w:eastAsia="宋体"/>
      <w:b/>
      <w:i/>
      <w:sz w:val="24"/>
      <w:szCs w:val="24"/>
    </w:rPr>
  </w:style>
  <w:style w:type="character" w:customStyle="1" w:styleId="136">
    <w:name w:val="z-窗体顶端 字符"/>
    <w:link w:val="137"/>
    <w:qFormat/>
    <w:uiPriority w:val="0"/>
    <w:rPr>
      <w:rFonts w:ascii="Arial" w:hAnsi="Arial" w:cs="Arial"/>
      <w:vanish/>
      <w:sz w:val="16"/>
      <w:szCs w:val="16"/>
    </w:rPr>
  </w:style>
  <w:style w:type="paragraph" w:customStyle="1" w:styleId="137">
    <w:name w:val="z-窗体顶端1"/>
    <w:basedOn w:val="1"/>
    <w:next w:val="1"/>
    <w:link w:val="136"/>
    <w:qFormat/>
    <w:uiPriority w:val="0"/>
    <w:pPr>
      <w:pBdr>
        <w:bottom w:val="single" w:color="auto" w:sz="6" w:space="1"/>
      </w:pBdr>
      <w:jc w:val="center"/>
    </w:pPr>
    <w:rPr>
      <w:rFonts w:ascii="Arial" w:hAnsi="Arial" w:cs="Arial"/>
      <w:vanish/>
      <w:sz w:val="16"/>
      <w:szCs w:val="16"/>
    </w:rPr>
  </w:style>
  <w:style w:type="character" w:customStyle="1" w:styleId="138">
    <w:name w:val="标题 1 Char_2"/>
    <w:link w:val="139"/>
    <w:qFormat/>
    <w:uiPriority w:val="0"/>
    <w:rPr>
      <w:rFonts w:cs="宋体"/>
      <w:b/>
      <w:bCs/>
      <w:kern w:val="44"/>
      <w:sz w:val="44"/>
      <w:szCs w:val="44"/>
    </w:rPr>
  </w:style>
  <w:style w:type="paragraph" w:customStyle="1" w:styleId="139">
    <w:name w:val="标题 1_2"/>
    <w:basedOn w:val="140"/>
    <w:next w:val="140"/>
    <w:link w:val="138"/>
    <w:qFormat/>
    <w:uiPriority w:val="0"/>
    <w:pPr>
      <w:keepNext/>
      <w:keepLines/>
      <w:pageBreakBefore/>
      <w:spacing w:line="360" w:lineRule="auto"/>
      <w:jc w:val="center"/>
      <w:outlineLvl w:val="0"/>
    </w:pPr>
    <w:rPr>
      <w:rFonts w:cs="宋体" w:asciiTheme="minorHAnsi" w:hAnsiTheme="minorHAnsi" w:eastAsiaTheme="minorEastAsia"/>
      <w:b/>
      <w:bCs/>
      <w:kern w:val="44"/>
      <w:sz w:val="44"/>
      <w:szCs w:val="44"/>
    </w:rPr>
  </w:style>
  <w:style w:type="paragraph" w:customStyle="1" w:styleId="140">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1">
    <w:name w:val="Char Char7"/>
    <w:qFormat/>
    <w:locked/>
    <w:uiPriority w:val="0"/>
    <w:rPr>
      <w:rFonts w:ascii="Arial" w:hAnsi="Arial" w:eastAsia="黑体"/>
      <w:kern w:val="2"/>
      <w:sz w:val="21"/>
      <w:szCs w:val="21"/>
      <w:lang w:bidi="ar-SA"/>
    </w:rPr>
  </w:style>
  <w:style w:type="character" w:customStyle="1" w:styleId="142">
    <w:name w:val="脚注文本 Char"/>
    <w:link w:val="40"/>
    <w:qFormat/>
    <w:uiPriority w:val="0"/>
    <w:rPr>
      <w:rFonts w:ascii="Calibri" w:hAnsi="Calibri" w:eastAsia="宋体" w:cs="Times New Roman"/>
      <w:sz w:val="20"/>
      <w:szCs w:val="20"/>
    </w:rPr>
  </w:style>
  <w:style w:type="character" w:customStyle="1" w:styleId="143">
    <w:name w:val="Char Char9_0"/>
    <w:qFormat/>
    <w:locked/>
    <w:uiPriority w:val="0"/>
    <w:rPr>
      <w:rFonts w:eastAsia="宋体"/>
      <w:b/>
      <w:bCs/>
      <w:kern w:val="2"/>
      <w:sz w:val="24"/>
      <w:szCs w:val="24"/>
      <w:lang w:bidi="ar-SA"/>
    </w:rPr>
  </w:style>
  <w:style w:type="character" w:customStyle="1" w:styleId="144">
    <w:name w:val="font11_0"/>
    <w:qFormat/>
    <w:uiPriority w:val="0"/>
    <w:rPr>
      <w:rFonts w:hint="eastAsia" w:ascii="宋体" w:hAnsi="宋体" w:eastAsia="宋体" w:cs="宋体"/>
      <w:color w:val="000000"/>
      <w:sz w:val="20"/>
      <w:szCs w:val="20"/>
    </w:rPr>
  </w:style>
  <w:style w:type="character" w:customStyle="1" w:styleId="145">
    <w:name w:val="ca-11"/>
    <w:qFormat/>
    <w:uiPriority w:val="0"/>
    <w:rPr>
      <w:rFonts w:hint="default" w:ascii="Times New Roman" w:hAnsi="Times New Roman" w:cs="Times New Roman"/>
      <w:sz w:val="28"/>
      <w:szCs w:val="28"/>
    </w:rPr>
  </w:style>
  <w:style w:type="character" w:customStyle="1" w:styleId="146">
    <w:name w:val="页码1"/>
    <w:qFormat/>
    <w:uiPriority w:val="0"/>
  </w:style>
  <w:style w:type="character" w:customStyle="1" w:styleId="147">
    <w:name w:val="标题 Char"/>
    <w:link w:val="49"/>
    <w:qFormat/>
    <w:uiPriority w:val="0"/>
    <w:rPr>
      <w:rFonts w:ascii="Arial" w:hAnsi="Arial" w:eastAsia="宋体" w:cs="Times New Roman"/>
      <w:b/>
      <w:kern w:val="0"/>
      <w:sz w:val="32"/>
      <w:szCs w:val="20"/>
    </w:rPr>
  </w:style>
  <w:style w:type="character" w:customStyle="1" w:styleId="148">
    <w:name w:val="Char Char9"/>
    <w:qFormat/>
    <w:uiPriority w:val="0"/>
    <w:rPr>
      <w:kern w:val="2"/>
      <w:sz w:val="21"/>
      <w:szCs w:val="22"/>
    </w:rPr>
  </w:style>
  <w:style w:type="character" w:customStyle="1" w:styleId="149">
    <w:name w:val="批注主题 Char1"/>
    <w:qFormat/>
    <w:uiPriority w:val="0"/>
    <w:rPr>
      <w:b/>
      <w:bCs/>
      <w:kern w:val="2"/>
      <w:sz w:val="21"/>
      <w:szCs w:val="22"/>
    </w:rPr>
  </w:style>
  <w:style w:type="character" w:customStyle="1" w:styleId="150">
    <w:name w:val="标题5 Char Char"/>
    <w:qFormat/>
    <w:uiPriority w:val="0"/>
    <w:rPr>
      <w:rFonts w:ascii="Arial" w:hAnsi="Arial"/>
      <w:b/>
      <w:bCs/>
      <w:sz w:val="24"/>
      <w:szCs w:val="32"/>
      <w:lang w:bidi="ar-SA"/>
    </w:rPr>
  </w:style>
  <w:style w:type="character" w:customStyle="1" w:styleId="151">
    <w:name w:val="Char Char33"/>
    <w:qFormat/>
    <w:uiPriority w:val="0"/>
    <w:rPr>
      <w:rFonts w:ascii="Arial" w:hAnsi="Arial" w:eastAsia="黑体"/>
      <w:b/>
      <w:kern w:val="2"/>
      <w:sz w:val="32"/>
      <w:lang w:bidi="ar-SA"/>
    </w:rPr>
  </w:style>
  <w:style w:type="character" w:customStyle="1" w:styleId="152">
    <w:name w:val="文档结构图 Char1"/>
    <w:qFormat/>
    <w:uiPriority w:val="0"/>
    <w:rPr>
      <w:rFonts w:ascii="宋体"/>
      <w:kern w:val="2"/>
      <w:sz w:val="18"/>
      <w:szCs w:val="18"/>
    </w:rPr>
  </w:style>
  <w:style w:type="character" w:customStyle="1" w:styleId="153">
    <w:name w:val="标题6 Char"/>
    <w:link w:val="154"/>
    <w:qFormat/>
    <w:uiPriority w:val="0"/>
    <w:rPr>
      <w:rFonts w:ascii="宋体" w:hAnsi="宋体" w:eastAsia="黑体" w:cs="宋体"/>
      <w:sz w:val="32"/>
      <w:szCs w:val="32"/>
    </w:rPr>
  </w:style>
  <w:style w:type="paragraph" w:customStyle="1" w:styleId="154">
    <w:name w:val="标题6"/>
    <w:basedOn w:val="1"/>
    <w:link w:val="153"/>
    <w:qFormat/>
    <w:uiPriority w:val="0"/>
    <w:pPr>
      <w:keepNext/>
      <w:keepLines/>
      <w:spacing w:line="400" w:lineRule="exact"/>
      <w:jc w:val="center"/>
      <w:outlineLvl w:val="2"/>
    </w:pPr>
    <w:rPr>
      <w:rFonts w:ascii="宋体" w:hAnsi="宋体" w:eastAsia="黑体" w:cs="宋体"/>
      <w:sz w:val="32"/>
      <w:szCs w:val="32"/>
    </w:rPr>
  </w:style>
  <w:style w:type="character" w:customStyle="1" w:styleId="155">
    <w:name w:val="Char Char11_0"/>
    <w:qFormat/>
    <w:uiPriority w:val="0"/>
    <w:rPr>
      <w:rFonts w:ascii="Cambria" w:hAnsi="Cambria" w:eastAsia="宋体" w:cs="Times New Roman"/>
      <w:kern w:val="2"/>
      <w:sz w:val="24"/>
      <w:szCs w:val="24"/>
    </w:rPr>
  </w:style>
  <w:style w:type="character" w:customStyle="1" w:styleId="156">
    <w:name w:val="Char Char11"/>
    <w:qFormat/>
    <w:uiPriority w:val="0"/>
    <w:rPr>
      <w:rFonts w:hint="default" w:ascii="Cambria" w:hAnsi="Cambria" w:eastAsia="宋体"/>
      <w:b/>
      <w:bCs/>
      <w:kern w:val="32"/>
      <w:sz w:val="32"/>
      <w:szCs w:val="32"/>
    </w:rPr>
  </w:style>
  <w:style w:type="character" w:customStyle="1" w:styleId="157">
    <w:name w:val="Char Char Char"/>
    <w:qFormat/>
    <w:locked/>
    <w:uiPriority w:val="0"/>
    <w:rPr>
      <w:rFonts w:eastAsia="黑体"/>
      <w:bCs/>
      <w:sz w:val="28"/>
      <w:szCs w:val="32"/>
      <w:lang w:val="en-US" w:eastAsia="zh-CN" w:bidi="ar-SA"/>
    </w:rPr>
  </w:style>
  <w:style w:type="character" w:customStyle="1" w:styleId="158">
    <w:name w:val="标题 2 Char_0_0"/>
    <w:link w:val="159"/>
    <w:qFormat/>
    <w:uiPriority w:val="0"/>
    <w:rPr>
      <w:rFonts w:ascii="Arial" w:hAnsi="Arial" w:eastAsia="黑体"/>
      <w:b/>
      <w:bCs/>
      <w:sz w:val="32"/>
      <w:szCs w:val="32"/>
    </w:rPr>
  </w:style>
  <w:style w:type="paragraph" w:customStyle="1" w:styleId="159">
    <w:name w:val="标题 2_0_0"/>
    <w:basedOn w:val="160"/>
    <w:next w:val="160"/>
    <w:link w:val="158"/>
    <w:qFormat/>
    <w:uiPriority w:val="0"/>
    <w:pPr>
      <w:keepNext/>
      <w:keepLines/>
      <w:spacing w:before="260" w:after="260" w:line="415" w:lineRule="auto"/>
      <w:outlineLvl w:val="1"/>
    </w:pPr>
    <w:rPr>
      <w:rFonts w:ascii="Arial" w:hAnsi="Arial" w:eastAsia="黑体" w:cstheme="minorBidi"/>
      <w:b/>
      <w:bCs/>
      <w:sz w:val="32"/>
      <w:szCs w:val="32"/>
    </w:rPr>
  </w:style>
  <w:style w:type="paragraph" w:customStyle="1" w:styleId="160">
    <w:name w:val="正文_1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61">
    <w:name w:val="ca-21"/>
    <w:qFormat/>
    <w:uiPriority w:val="0"/>
    <w:rPr>
      <w:rFonts w:hint="eastAsia" w:ascii="黑体" w:eastAsia="黑体"/>
      <w:sz w:val="28"/>
      <w:szCs w:val="28"/>
    </w:rPr>
  </w:style>
  <w:style w:type="character" w:customStyle="1" w:styleId="162">
    <w:name w:val="Char Char81"/>
    <w:qFormat/>
    <w:uiPriority w:val="0"/>
    <w:rPr>
      <w:rFonts w:hint="default" w:ascii="Arial" w:hAnsi="Arial" w:eastAsia="黑体" w:cs="Arial"/>
      <w:b/>
      <w:bCs/>
      <w:kern w:val="2"/>
      <w:sz w:val="32"/>
      <w:szCs w:val="32"/>
      <w:lang w:val="en-US" w:eastAsia="zh-CN" w:bidi="ar-SA"/>
    </w:rPr>
  </w:style>
  <w:style w:type="character" w:customStyle="1" w:styleId="163">
    <w:name w:val="Char Char3"/>
    <w:qFormat/>
    <w:locked/>
    <w:uiPriority w:val="0"/>
    <w:rPr>
      <w:rFonts w:ascii="Calibri" w:hAnsi="Calibri" w:eastAsia="宋体"/>
      <w:kern w:val="2"/>
      <w:sz w:val="18"/>
      <w:szCs w:val="18"/>
      <w:lang w:val="en-US" w:eastAsia="zh-CN" w:bidi="ar-SA"/>
    </w:rPr>
  </w:style>
  <w:style w:type="character" w:customStyle="1" w:styleId="164">
    <w:name w:val="标题 3 Char_0"/>
    <w:link w:val="165"/>
    <w:qFormat/>
    <w:uiPriority w:val="0"/>
    <w:rPr>
      <w:rFonts w:ascii="Times New Roman" w:hAnsi="Times New Roman"/>
      <w:b/>
      <w:sz w:val="32"/>
    </w:rPr>
  </w:style>
  <w:style w:type="paragraph" w:customStyle="1" w:styleId="165">
    <w:name w:val="标题 3_1"/>
    <w:basedOn w:val="109"/>
    <w:next w:val="109"/>
    <w:link w:val="164"/>
    <w:qFormat/>
    <w:uiPriority w:val="0"/>
    <w:pPr>
      <w:keepNext/>
      <w:keepLines/>
      <w:spacing w:before="260" w:after="260" w:line="413" w:lineRule="auto"/>
      <w:outlineLvl w:val="2"/>
    </w:pPr>
    <w:rPr>
      <w:rFonts w:ascii="Times New Roman" w:hAnsi="Times New Roman" w:eastAsiaTheme="minorEastAsia" w:cstheme="minorBidi"/>
      <w:b/>
      <w:sz w:val="32"/>
      <w:szCs w:val="22"/>
    </w:rPr>
  </w:style>
  <w:style w:type="character" w:customStyle="1" w:styleId="166">
    <w:name w:val="不明显参考1"/>
    <w:qFormat/>
    <w:uiPriority w:val="0"/>
    <w:rPr>
      <w:sz w:val="30"/>
      <w:szCs w:val="24"/>
      <w:u w:val="none"/>
    </w:rPr>
  </w:style>
  <w:style w:type="character" w:customStyle="1" w:styleId="167">
    <w:name w:val="Sample"/>
    <w:qFormat/>
    <w:uiPriority w:val="0"/>
    <w:rPr>
      <w:rFonts w:ascii="Courier New" w:hAnsi="Courier New"/>
    </w:rPr>
  </w:style>
  <w:style w:type="character" w:customStyle="1" w:styleId="168">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169">
    <w:name w:val="Char Char13"/>
    <w:qFormat/>
    <w:locked/>
    <w:uiPriority w:val="0"/>
    <w:rPr>
      <w:rFonts w:eastAsia="宋体"/>
      <w:b/>
      <w:bCs/>
      <w:kern w:val="2"/>
      <w:sz w:val="32"/>
      <w:szCs w:val="32"/>
      <w:lang w:bidi="ar-SA"/>
    </w:rPr>
  </w:style>
  <w:style w:type="character" w:customStyle="1" w:styleId="170">
    <w:name w:val="Char Char15_0"/>
    <w:qFormat/>
    <w:locked/>
    <w:uiPriority w:val="0"/>
    <w:rPr>
      <w:rFonts w:eastAsia="宋体"/>
      <w:b/>
      <w:bCs/>
      <w:kern w:val="44"/>
      <w:sz w:val="44"/>
      <w:szCs w:val="44"/>
      <w:lang w:bidi="ar-SA"/>
    </w:rPr>
  </w:style>
  <w:style w:type="character" w:customStyle="1" w:styleId="171">
    <w:name w:val="Char Char21"/>
    <w:qFormat/>
    <w:uiPriority w:val="0"/>
    <w:rPr>
      <w:rFonts w:ascii="黑体" w:hAnsi="宋体" w:eastAsia="黑体" w:cs="Arial"/>
      <w:b/>
      <w:bCs/>
      <w:sz w:val="30"/>
      <w:szCs w:val="24"/>
    </w:rPr>
  </w:style>
  <w:style w:type="character" w:customStyle="1" w:styleId="172">
    <w:name w:val="纯文本 Char1"/>
    <w:qFormat/>
    <w:uiPriority w:val="99"/>
    <w:rPr>
      <w:rFonts w:ascii="宋体" w:hAnsi="Courier New" w:cs="Courier New"/>
      <w:kern w:val="2"/>
      <w:sz w:val="21"/>
      <w:szCs w:val="21"/>
    </w:rPr>
  </w:style>
  <w:style w:type="character" w:customStyle="1" w:styleId="173">
    <w:name w:val="正文文本 3 Char1"/>
    <w:qFormat/>
    <w:locked/>
    <w:uiPriority w:val="0"/>
    <w:rPr>
      <w:sz w:val="16"/>
      <w:lang w:eastAsia="en-US" w:bidi="en-US"/>
    </w:rPr>
  </w:style>
  <w:style w:type="character" w:customStyle="1" w:styleId="174">
    <w:name w:val="Typewriter"/>
    <w:qFormat/>
    <w:uiPriority w:val="0"/>
    <w:rPr>
      <w:rFonts w:ascii="Courier New" w:hAnsi="Courier New"/>
      <w:sz w:val="20"/>
    </w:rPr>
  </w:style>
  <w:style w:type="character" w:customStyle="1" w:styleId="175">
    <w:name w:val="页眉 Char"/>
    <w:link w:val="36"/>
    <w:qFormat/>
    <w:uiPriority w:val="0"/>
    <w:rPr>
      <w:sz w:val="18"/>
      <w:szCs w:val="18"/>
    </w:rPr>
  </w:style>
  <w:style w:type="character" w:customStyle="1" w:styleId="176">
    <w:name w:val="引用 Char"/>
    <w:link w:val="177"/>
    <w:qFormat/>
    <w:uiPriority w:val="0"/>
    <w:rPr>
      <w:rFonts w:ascii="Calibri" w:hAnsi="Calibri" w:eastAsia="宋体" w:cs="Times New Roman"/>
      <w:i/>
      <w:kern w:val="0"/>
      <w:sz w:val="24"/>
    </w:rPr>
  </w:style>
  <w:style w:type="paragraph" w:styleId="177">
    <w:name w:val="Quote"/>
    <w:basedOn w:val="1"/>
    <w:next w:val="1"/>
    <w:link w:val="176"/>
    <w:qFormat/>
    <w:uiPriority w:val="0"/>
    <w:pPr>
      <w:widowControl/>
      <w:jc w:val="left"/>
    </w:pPr>
    <w:rPr>
      <w:rFonts w:ascii="Calibri" w:hAnsi="Calibri" w:eastAsia="宋体" w:cs="Times New Roman"/>
      <w:i/>
      <w:kern w:val="0"/>
      <w:sz w:val="24"/>
    </w:rPr>
  </w:style>
  <w:style w:type="character" w:customStyle="1" w:styleId="178">
    <w:name w:val="Char Char16_0"/>
    <w:qFormat/>
    <w:uiPriority w:val="0"/>
    <w:rPr>
      <w:b/>
      <w:bCs/>
      <w:kern w:val="2"/>
      <w:sz w:val="32"/>
      <w:szCs w:val="32"/>
    </w:rPr>
  </w:style>
  <w:style w:type="character" w:customStyle="1" w:styleId="179">
    <w:name w:val="纯文本 Char"/>
    <w:link w:val="28"/>
    <w:qFormat/>
    <w:uiPriority w:val="99"/>
    <w:rPr>
      <w:rFonts w:ascii="Courier New" w:hAnsi="Courier New" w:eastAsia="宋体" w:cs="Times New Roman"/>
      <w:szCs w:val="20"/>
    </w:rPr>
  </w:style>
  <w:style w:type="character" w:customStyle="1" w:styleId="180">
    <w:name w:val="Char Char2"/>
    <w:qFormat/>
    <w:uiPriority w:val="0"/>
    <w:rPr>
      <w:rFonts w:hint="eastAsia" w:ascii="宋体" w:hAnsi="宋体" w:eastAsia="宋体"/>
      <w:kern w:val="2"/>
      <w:sz w:val="21"/>
      <w:szCs w:val="24"/>
      <w:lang w:val="en-US" w:eastAsia="zh-CN" w:bidi="ar-SA"/>
    </w:rPr>
  </w:style>
  <w:style w:type="character" w:customStyle="1" w:styleId="181">
    <w:name w:val="font11"/>
    <w:qFormat/>
    <w:uiPriority w:val="0"/>
    <w:rPr>
      <w:rFonts w:hint="eastAsia" w:ascii="宋体" w:hAnsi="宋体" w:eastAsia="宋体" w:cs="宋体"/>
      <w:color w:val="000000"/>
      <w:sz w:val="20"/>
      <w:szCs w:val="20"/>
    </w:rPr>
  </w:style>
  <w:style w:type="character" w:customStyle="1" w:styleId="182">
    <w:name w:val="引用 Char1"/>
    <w:qFormat/>
    <w:uiPriority w:val="29"/>
    <w:rPr>
      <w:rFonts w:hint="default" w:ascii="Times New Roman" w:hAnsi="Times New Roman" w:cs="Times New Roman"/>
      <w:i/>
      <w:iCs/>
      <w:color w:val="000000"/>
      <w:kern w:val="2"/>
      <w:sz w:val="21"/>
      <w:szCs w:val="24"/>
    </w:rPr>
  </w:style>
  <w:style w:type="character" w:customStyle="1" w:styleId="183">
    <w:name w:val="Char Char34"/>
    <w:qFormat/>
    <w:uiPriority w:val="0"/>
    <w:rPr>
      <w:rFonts w:eastAsia="宋体"/>
      <w:b/>
      <w:kern w:val="44"/>
      <w:sz w:val="44"/>
      <w:lang w:bidi="ar-SA"/>
    </w:rPr>
  </w:style>
  <w:style w:type="character" w:customStyle="1" w:styleId="184">
    <w:name w:val="Keyboard"/>
    <w:qFormat/>
    <w:uiPriority w:val="0"/>
    <w:rPr>
      <w:rFonts w:ascii="Courier New" w:hAnsi="Courier New"/>
      <w:b/>
      <w:sz w:val="20"/>
    </w:rPr>
  </w:style>
  <w:style w:type="character" w:customStyle="1" w:styleId="185">
    <w:name w:val="正文文本 2 Char"/>
    <w:link w:val="46"/>
    <w:qFormat/>
    <w:uiPriority w:val="0"/>
    <w:rPr>
      <w:rFonts w:ascii="Times New Roman" w:hAnsi="宋体" w:eastAsia="方正小标宋_GBK" w:cs="Times New Roman"/>
      <w:spacing w:val="-20"/>
      <w:kern w:val="0"/>
      <w:sz w:val="44"/>
      <w:szCs w:val="32"/>
    </w:rPr>
  </w:style>
  <w:style w:type="character" w:customStyle="1" w:styleId="186">
    <w:name w:val="批注文字 Char Char"/>
    <w:qFormat/>
    <w:uiPriority w:val="0"/>
    <w:rPr>
      <w:rFonts w:ascii="宋体" w:hAnsi="Times New Roman" w:eastAsia="宋体" w:cs="Times New Roman"/>
      <w:sz w:val="28"/>
      <w:szCs w:val="20"/>
    </w:rPr>
  </w:style>
  <w:style w:type="character" w:customStyle="1" w:styleId="187">
    <w:name w:val="ca-51"/>
    <w:qFormat/>
    <w:uiPriority w:val="0"/>
    <w:rPr>
      <w:rFonts w:hint="eastAsia" w:ascii="宋体" w:hAnsi="宋体" w:eastAsia="宋体"/>
      <w:b/>
      <w:bCs/>
      <w:spacing w:val="-20"/>
      <w:sz w:val="21"/>
      <w:szCs w:val="21"/>
    </w:rPr>
  </w:style>
  <w:style w:type="character" w:customStyle="1" w:styleId="188">
    <w:name w:val="content1"/>
    <w:qFormat/>
    <w:uiPriority w:val="0"/>
    <w:rPr>
      <w:sz w:val="21"/>
      <w:szCs w:val="21"/>
      <w:u w:val="single"/>
    </w:rPr>
  </w:style>
  <w:style w:type="character" w:customStyle="1" w:styleId="189">
    <w:name w:val="Char Char14"/>
    <w:qFormat/>
    <w:locked/>
    <w:uiPriority w:val="0"/>
    <w:rPr>
      <w:rFonts w:eastAsia="宋体"/>
      <w:b/>
      <w:bCs/>
      <w:kern w:val="2"/>
      <w:sz w:val="32"/>
      <w:szCs w:val="32"/>
      <w:lang w:bidi="ar-SA"/>
    </w:rPr>
  </w:style>
  <w:style w:type="character" w:customStyle="1" w:styleId="190">
    <w:name w:val="尾注文本 Char1"/>
    <w:semiHidden/>
    <w:qFormat/>
    <w:uiPriority w:val="99"/>
    <w:rPr>
      <w:rFonts w:ascii="Calibri" w:hAnsi="Calibri" w:eastAsia="宋体" w:cs="Times New Roman"/>
    </w:rPr>
  </w:style>
  <w:style w:type="character" w:customStyle="1" w:styleId="191">
    <w:name w:val="尾注文本 Char"/>
    <w:link w:val="33"/>
    <w:qFormat/>
    <w:uiPriority w:val="0"/>
    <w:rPr>
      <w:szCs w:val="24"/>
    </w:rPr>
  </w:style>
  <w:style w:type="character" w:customStyle="1" w:styleId="192">
    <w:name w:val="Char Char1"/>
    <w:qFormat/>
    <w:uiPriority w:val="0"/>
    <w:rPr>
      <w:rFonts w:ascii="黑体" w:hAnsi="Arial" w:eastAsia="黑体" w:cs="Arial"/>
      <w:b/>
      <w:bCs/>
      <w:kern w:val="2"/>
      <w:sz w:val="32"/>
      <w:szCs w:val="32"/>
      <w:lang w:val="en-US" w:eastAsia="zh-CN" w:bidi="ar-SA"/>
    </w:rPr>
  </w:style>
  <w:style w:type="character" w:customStyle="1" w:styleId="193">
    <w:name w:val="标题5 Char"/>
    <w:link w:val="106"/>
    <w:qFormat/>
    <w:uiPriority w:val="0"/>
    <w:rPr>
      <w:rFonts w:ascii="Arial" w:hAnsi="Arial" w:eastAsia="黑体" w:cs="Times New Roman"/>
      <w:bCs/>
      <w:sz w:val="24"/>
      <w:szCs w:val="32"/>
    </w:rPr>
  </w:style>
  <w:style w:type="character" w:customStyle="1" w:styleId="194">
    <w:name w:val="标题 2 Char1"/>
    <w:qFormat/>
    <w:locked/>
    <w:uiPriority w:val="0"/>
    <w:rPr>
      <w:rFonts w:ascii="Arial" w:hAnsi="Arial" w:eastAsia="黑体"/>
      <w:b/>
      <w:bCs/>
      <w:sz w:val="32"/>
      <w:szCs w:val="32"/>
    </w:rPr>
  </w:style>
  <w:style w:type="character" w:customStyle="1" w:styleId="195">
    <w:name w:val="Char Char18_0"/>
    <w:qFormat/>
    <w:uiPriority w:val="0"/>
    <w:rPr>
      <w:b/>
      <w:bCs/>
      <w:kern w:val="44"/>
      <w:sz w:val="44"/>
      <w:szCs w:val="44"/>
    </w:rPr>
  </w:style>
  <w:style w:type="character" w:customStyle="1" w:styleId="196">
    <w:name w:val="正文文本缩进 2 Char"/>
    <w:link w:val="32"/>
    <w:qFormat/>
    <w:uiPriority w:val="0"/>
    <w:rPr>
      <w:rFonts w:ascii="Times New Roman" w:hAnsi="Times New Roman" w:eastAsia="宋体" w:cs="Times New Roman"/>
      <w:color w:val="000000"/>
      <w:kern w:val="0"/>
      <w:sz w:val="24"/>
      <w:szCs w:val="20"/>
    </w:rPr>
  </w:style>
  <w:style w:type="character" w:customStyle="1" w:styleId="197">
    <w:name w:val="Char Char16"/>
    <w:qFormat/>
    <w:uiPriority w:val="0"/>
    <w:rPr>
      <w:b/>
      <w:bCs/>
      <w:kern w:val="2"/>
      <w:sz w:val="32"/>
      <w:szCs w:val="32"/>
    </w:rPr>
  </w:style>
  <w:style w:type="character" w:customStyle="1" w:styleId="198">
    <w:name w:val="超链接_0"/>
    <w:unhideWhenUsed/>
    <w:qFormat/>
    <w:uiPriority w:val="0"/>
    <w:rPr>
      <w:color w:val="0000FF"/>
      <w:u w:val="single"/>
    </w:rPr>
  </w:style>
  <w:style w:type="character" w:customStyle="1" w:styleId="199">
    <w:name w:val="Char Char18"/>
    <w:qFormat/>
    <w:uiPriority w:val="0"/>
    <w:rPr>
      <w:b/>
      <w:bCs/>
      <w:kern w:val="44"/>
      <w:sz w:val="44"/>
      <w:szCs w:val="44"/>
    </w:rPr>
  </w:style>
  <w:style w:type="character" w:customStyle="1" w:styleId="200">
    <w:name w:val="Char Char111"/>
    <w:qFormat/>
    <w:uiPriority w:val="0"/>
    <w:rPr>
      <w:rFonts w:ascii="黑体" w:hAnsi="Arial" w:eastAsia="黑体" w:cs="Arial"/>
      <w:b/>
      <w:bCs/>
      <w:sz w:val="32"/>
      <w:szCs w:val="32"/>
    </w:rPr>
  </w:style>
  <w:style w:type="character" w:customStyle="1" w:styleId="201">
    <w:name w:val="标题 Char1"/>
    <w:qFormat/>
    <w:locked/>
    <w:uiPriority w:val="0"/>
    <w:rPr>
      <w:rFonts w:ascii="Arial" w:hAnsi="Arial"/>
      <w:b/>
      <w:sz w:val="44"/>
    </w:rPr>
  </w:style>
  <w:style w:type="character" w:customStyle="1" w:styleId="202">
    <w:name w:val="font5 Char"/>
    <w:link w:val="203"/>
    <w:qFormat/>
    <w:uiPriority w:val="0"/>
    <w:rPr>
      <w:rFonts w:ascii="宋体" w:hAnsi="宋体" w:eastAsia="宋体" w:cs="Times New Roman"/>
      <w:kern w:val="0"/>
      <w:sz w:val="24"/>
      <w:szCs w:val="24"/>
    </w:rPr>
  </w:style>
  <w:style w:type="paragraph" w:customStyle="1" w:styleId="203">
    <w:name w:val="font5"/>
    <w:basedOn w:val="1"/>
    <w:link w:val="202"/>
    <w:qFormat/>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204">
    <w:name w:val="标题 3 Char Char"/>
    <w:qFormat/>
    <w:uiPriority w:val="0"/>
    <w:rPr>
      <w:rFonts w:ascii="Cambria" w:hAnsi="Cambria" w:eastAsia="宋体"/>
      <w:b/>
      <w:bCs/>
      <w:sz w:val="26"/>
      <w:szCs w:val="26"/>
      <w:lang w:val="en-US" w:eastAsia="en-US"/>
    </w:rPr>
  </w:style>
  <w:style w:type="character" w:customStyle="1" w:styleId="205">
    <w:name w:val="样式 标题 3h3section:3Level 3 HeadH3level_3PIM 33rd level3H... Char"/>
    <w:link w:val="206"/>
    <w:qFormat/>
    <w:locked/>
    <w:uiPriority w:val="0"/>
    <w:rPr>
      <w:rFonts w:ascii="Arial" w:hAnsi="Arial" w:cs="Arial"/>
      <w:b/>
      <w:sz w:val="24"/>
      <w:szCs w:val="28"/>
    </w:rPr>
  </w:style>
  <w:style w:type="paragraph" w:customStyle="1" w:styleId="206">
    <w:name w:val="样式 标题 3h3section:3Level 3 HeadH3level_3PIM 33rd level3H..."/>
    <w:basedOn w:val="6"/>
    <w:link w:val="205"/>
    <w:qFormat/>
    <w:uiPriority w:val="0"/>
    <w:pPr>
      <w:keepLines w:val="0"/>
      <w:widowControl/>
      <w:tabs>
        <w:tab w:val="left" w:pos="360"/>
        <w:tab w:val="left" w:pos="1680"/>
      </w:tabs>
      <w:adjustRightInd w:val="0"/>
      <w:spacing w:before="240" w:after="60" w:line="416" w:lineRule="atLeast"/>
      <w:jc w:val="left"/>
    </w:pPr>
    <w:rPr>
      <w:rFonts w:ascii="Arial" w:hAnsi="Arial" w:cs="Arial" w:eastAsiaTheme="minorEastAsia"/>
      <w:sz w:val="24"/>
      <w:szCs w:val="28"/>
    </w:rPr>
  </w:style>
  <w:style w:type="character" w:customStyle="1" w:styleId="207">
    <w:name w:val="Char Char15"/>
    <w:qFormat/>
    <w:uiPriority w:val="0"/>
    <w:rPr>
      <w:rFonts w:ascii="Cambria" w:hAnsi="Cambria" w:eastAsia="宋体" w:cs="Times New Roman"/>
      <w:b/>
      <w:bCs/>
      <w:kern w:val="2"/>
      <w:sz w:val="28"/>
      <w:szCs w:val="28"/>
    </w:rPr>
  </w:style>
  <w:style w:type="character" w:customStyle="1" w:styleId="208">
    <w:name w:val="明显强调1"/>
    <w:qFormat/>
    <w:uiPriority w:val="0"/>
    <w:rPr>
      <w:b/>
      <w:i/>
      <w:sz w:val="24"/>
      <w:szCs w:val="24"/>
      <w:u w:val="single"/>
    </w:rPr>
  </w:style>
  <w:style w:type="character" w:customStyle="1" w:styleId="209">
    <w:name w:val="正文文本 3 Char_0"/>
    <w:link w:val="210"/>
    <w:qFormat/>
    <w:uiPriority w:val="0"/>
    <w:rPr>
      <w:rFonts w:ascii="Times New Roman" w:hAnsi="Times New Roman"/>
      <w:sz w:val="16"/>
      <w:szCs w:val="16"/>
    </w:rPr>
  </w:style>
  <w:style w:type="paragraph" w:customStyle="1" w:styleId="210">
    <w:name w:val="正文文本 3_0_0"/>
    <w:basedOn w:val="160"/>
    <w:link w:val="209"/>
    <w:qFormat/>
    <w:uiPriority w:val="0"/>
    <w:rPr>
      <w:rFonts w:ascii="Times New Roman" w:hAnsi="Times New Roman" w:eastAsiaTheme="minorEastAsia" w:cstheme="minorBidi"/>
      <w:sz w:val="16"/>
      <w:szCs w:val="16"/>
    </w:rPr>
  </w:style>
  <w:style w:type="character" w:customStyle="1" w:styleId="211">
    <w:name w:val="ca-31"/>
    <w:qFormat/>
    <w:uiPriority w:val="0"/>
    <w:rPr>
      <w:rFonts w:hint="eastAsia" w:ascii="宋体" w:hAnsi="宋体" w:eastAsia="宋体"/>
      <w:sz w:val="21"/>
      <w:szCs w:val="21"/>
    </w:rPr>
  </w:style>
  <w:style w:type="character" w:customStyle="1" w:styleId="212">
    <w:name w:val="正文缩进 Char"/>
    <w:link w:val="15"/>
    <w:qFormat/>
    <w:uiPriority w:val="0"/>
  </w:style>
  <w:style w:type="character" w:customStyle="1" w:styleId="213">
    <w:name w:val="明显引用 Char1"/>
    <w:qFormat/>
    <w:uiPriority w:val="30"/>
    <w:rPr>
      <w:rFonts w:hint="default" w:ascii="Times New Roman" w:hAnsi="Times New Roman" w:cs="Times New Roman"/>
      <w:b/>
      <w:bCs/>
      <w:i/>
      <w:iCs/>
      <w:color w:val="4F81BD"/>
      <w:kern w:val="2"/>
      <w:sz w:val="21"/>
      <w:szCs w:val="24"/>
    </w:rPr>
  </w:style>
  <w:style w:type="character" w:customStyle="1" w:styleId="214">
    <w:name w:val="Variable"/>
    <w:qFormat/>
    <w:uiPriority w:val="0"/>
    <w:rPr>
      <w:i/>
    </w:rPr>
  </w:style>
  <w:style w:type="character" w:customStyle="1" w:styleId="215">
    <w:name w:val="Char Char71"/>
    <w:qFormat/>
    <w:uiPriority w:val="0"/>
    <w:rPr>
      <w:rFonts w:ascii="Arial" w:hAnsi="Arial" w:eastAsia="黑体"/>
      <w:b/>
      <w:bCs/>
      <w:kern w:val="2"/>
      <w:sz w:val="32"/>
      <w:szCs w:val="32"/>
      <w:lang w:val="en-US" w:eastAsia="zh-CN" w:bidi="ar-SA"/>
    </w:rPr>
  </w:style>
  <w:style w:type="character" w:customStyle="1" w:styleId="216">
    <w:name w:val="WPS Plain Char"/>
    <w:link w:val="217"/>
    <w:qFormat/>
    <w:locked/>
    <w:uiPriority w:val="0"/>
  </w:style>
  <w:style w:type="paragraph" w:customStyle="1" w:styleId="217">
    <w:name w:val="WPS Plain"/>
    <w:link w:val="216"/>
    <w:qFormat/>
    <w:uiPriority w:val="0"/>
    <w:rPr>
      <w:rFonts w:asciiTheme="minorHAnsi" w:hAnsiTheme="minorHAnsi" w:eastAsiaTheme="minorEastAsia" w:cstheme="minorBidi"/>
      <w:kern w:val="2"/>
      <w:sz w:val="21"/>
      <w:szCs w:val="22"/>
      <w:lang w:val="en-US" w:eastAsia="zh-CN" w:bidi="ar-SA"/>
    </w:rPr>
  </w:style>
  <w:style w:type="character" w:customStyle="1" w:styleId="218">
    <w:name w:val="日期 Char"/>
    <w:link w:val="31"/>
    <w:qFormat/>
    <w:uiPriority w:val="0"/>
    <w:rPr>
      <w:rFonts w:ascii="Calibri" w:hAnsi="Calibri" w:eastAsia="宋体" w:cs="Times New Roman"/>
      <w:sz w:val="24"/>
      <w:szCs w:val="20"/>
    </w:rPr>
  </w:style>
  <w:style w:type="character" w:customStyle="1" w:styleId="219">
    <w:name w:val="标题 2 Char_2"/>
    <w:link w:val="220"/>
    <w:qFormat/>
    <w:uiPriority w:val="0"/>
    <w:rPr>
      <w:rFonts w:ascii="Arial" w:hAnsi="Arial" w:eastAsia="黑体"/>
      <w:b/>
      <w:sz w:val="32"/>
    </w:rPr>
  </w:style>
  <w:style w:type="paragraph" w:customStyle="1" w:styleId="220">
    <w:name w:val="标题 2_2"/>
    <w:basedOn w:val="109"/>
    <w:next w:val="109"/>
    <w:link w:val="219"/>
    <w:qFormat/>
    <w:uiPriority w:val="0"/>
    <w:pPr>
      <w:keepNext/>
      <w:keepLines/>
      <w:spacing w:before="260" w:after="260" w:line="413" w:lineRule="auto"/>
      <w:outlineLvl w:val="1"/>
    </w:pPr>
    <w:rPr>
      <w:rFonts w:ascii="Arial" w:hAnsi="Arial" w:eastAsia="黑体" w:cstheme="minorBidi"/>
      <w:b/>
      <w:sz w:val="32"/>
      <w:szCs w:val="22"/>
    </w:rPr>
  </w:style>
  <w:style w:type="character" w:customStyle="1" w:styleId="221">
    <w:name w:val="明显参考1"/>
    <w:qFormat/>
    <w:uiPriority w:val="0"/>
    <w:rPr>
      <w:b/>
      <w:sz w:val="24"/>
      <w:u w:val="single"/>
    </w:rPr>
  </w:style>
  <w:style w:type="character" w:customStyle="1" w:styleId="222">
    <w:name w:val="批注文字 Char"/>
    <w:link w:val="19"/>
    <w:qFormat/>
    <w:uiPriority w:val="0"/>
    <w:rPr>
      <w:rFonts w:ascii="Times New Roman" w:hAnsi="Times New Roman" w:eastAsia="宋体" w:cs="Times New Roman"/>
      <w:szCs w:val="24"/>
    </w:rPr>
  </w:style>
  <w:style w:type="character" w:customStyle="1" w:styleId="223">
    <w:name w:val="副标题 Char"/>
    <w:link w:val="39"/>
    <w:qFormat/>
    <w:uiPriority w:val="0"/>
    <w:rPr>
      <w:rFonts w:ascii="Arial" w:hAnsi="Arial" w:eastAsia="黑体" w:cs="Times New Roman"/>
      <w:b/>
      <w:bCs/>
      <w:sz w:val="32"/>
      <w:szCs w:val="32"/>
    </w:rPr>
  </w:style>
  <w:style w:type="character" w:customStyle="1" w:styleId="224">
    <w:name w:val="批注文字 Char1"/>
    <w:semiHidden/>
    <w:qFormat/>
    <w:uiPriority w:val="99"/>
    <w:rPr>
      <w:rFonts w:hint="default" w:ascii="Calibri" w:hAnsi="Calibri"/>
      <w:kern w:val="2"/>
      <w:sz w:val="21"/>
      <w:szCs w:val="22"/>
    </w:rPr>
  </w:style>
  <w:style w:type="character" w:customStyle="1" w:styleId="225">
    <w:name w:val="纯文本 Char2"/>
    <w:semiHidden/>
    <w:qFormat/>
    <w:uiPriority w:val="99"/>
    <w:rPr>
      <w:rFonts w:hint="eastAsia" w:ascii="宋体" w:hAnsi="Courier New" w:eastAsia="宋体" w:cs="Courier New"/>
      <w:kern w:val="2"/>
      <w:sz w:val="21"/>
      <w:szCs w:val="21"/>
    </w:rPr>
  </w:style>
  <w:style w:type="character" w:customStyle="1" w:styleId="226">
    <w:name w:val="Char Char171"/>
    <w:qFormat/>
    <w:uiPriority w:val="0"/>
    <w:rPr>
      <w:rFonts w:eastAsia="宋体"/>
      <w:kern w:val="2"/>
      <w:lang w:bidi="ar-SA"/>
    </w:rPr>
  </w:style>
  <w:style w:type="character" w:customStyle="1" w:styleId="227">
    <w:name w:val="标题 2 Char_0"/>
    <w:link w:val="228"/>
    <w:qFormat/>
    <w:uiPriority w:val="0"/>
    <w:rPr>
      <w:rFonts w:ascii="Arial" w:hAnsi="Arial"/>
      <w:b/>
      <w:bCs/>
      <w:sz w:val="28"/>
      <w:szCs w:val="32"/>
    </w:rPr>
  </w:style>
  <w:style w:type="paragraph" w:customStyle="1" w:styleId="228">
    <w:name w:val="标题 2_0"/>
    <w:basedOn w:val="229"/>
    <w:next w:val="229"/>
    <w:link w:val="227"/>
    <w:qFormat/>
    <w:uiPriority w:val="0"/>
    <w:pPr>
      <w:keepNext/>
      <w:keepLines/>
      <w:spacing w:before="260" w:after="260" w:line="415" w:lineRule="auto"/>
      <w:outlineLvl w:val="1"/>
    </w:pPr>
    <w:rPr>
      <w:rFonts w:ascii="Arial" w:hAnsi="Arial" w:eastAsiaTheme="minorEastAsia" w:cstheme="minorBidi"/>
      <w:b/>
      <w:bCs/>
      <w:sz w:val="28"/>
      <w:szCs w:val="32"/>
    </w:rPr>
  </w:style>
  <w:style w:type="paragraph" w:customStyle="1" w:styleId="229">
    <w:name w:val="正文_1"/>
    <w:qFormat/>
    <w:uiPriority w:val="0"/>
    <w:pPr>
      <w:widowControl w:val="0"/>
      <w:jc w:val="both"/>
    </w:pPr>
    <w:rPr>
      <w:rFonts w:ascii="Calibri" w:hAnsi="Calibri" w:eastAsia="宋体" w:cs="Times New Roman"/>
      <w:kern w:val="2"/>
      <w:sz w:val="21"/>
      <w:szCs w:val="24"/>
      <w:lang w:val="en-US" w:eastAsia="zh-CN" w:bidi="ar-SA"/>
    </w:rPr>
  </w:style>
  <w:style w:type="character" w:customStyle="1" w:styleId="230">
    <w:name w:val="Char Char17_0"/>
    <w:qFormat/>
    <w:uiPriority w:val="0"/>
    <w:rPr>
      <w:rFonts w:hint="default" w:ascii="Cambria" w:hAnsi="Cambria" w:eastAsia="宋体" w:cs="Times New Roman"/>
      <w:b/>
      <w:bCs/>
      <w:kern w:val="2"/>
      <w:sz w:val="32"/>
      <w:szCs w:val="32"/>
    </w:rPr>
  </w:style>
  <w:style w:type="character" w:customStyle="1" w:styleId="231">
    <w:name w:val="页脚 Char"/>
    <w:link w:val="35"/>
    <w:qFormat/>
    <w:uiPriority w:val="99"/>
    <w:rPr>
      <w:sz w:val="18"/>
      <w:szCs w:val="18"/>
    </w:rPr>
  </w:style>
  <w:style w:type="character" w:customStyle="1" w:styleId="232">
    <w:name w:val="样式 粉红"/>
    <w:qFormat/>
    <w:uiPriority w:val="0"/>
    <w:rPr>
      <w:color w:val="auto"/>
      <w:u w:val="none"/>
    </w:rPr>
  </w:style>
  <w:style w:type="character" w:customStyle="1" w:styleId="233">
    <w:name w:val="批注主题 Char"/>
    <w:link w:val="50"/>
    <w:qFormat/>
    <w:uiPriority w:val="0"/>
    <w:rPr>
      <w:rFonts w:ascii="Times New Roman" w:hAnsi="Times New Roman" w:eastAsia="宋体" w:cs="Times New Roman"/>
      <w:b/>
      <w:bCs/>
      <w:szCs w:val="24"/>
    </w:rPr>
  </w:style>
  <w:style w:type="character" w:customStyle="1" w:styleId="234">
    <w:name w:val="z-窗体底端 字符"/>
    <w:link w:val="235"/>
    <w:qFormat/>
    <w:uiPriority w:val="0"/>
    <w:rPr>
      <w:rFonts w:ascii="Arial" w:hAnsi="Arial" w:cs="Arial"/>
      <w:vanish/>
      <w:sz w:val="16"/>
      <w:szCs w:val="16"/>
    </w:rPr>
  </w:style>
  <w:style w:type="paragraph" w:customStyle="1" w:styleId="235">
    <w:name w:val="z-窗体底端1"/>
    <w:basedOn w:val="1"/>
    <w:next w:val="1"/>
    <w:link w:val="234"/>
    <w:qFormat/>
    <w:uiPriority w:val="0"/>
    <w:pPr>
      <w:pBdr>
        <w:top w:val="single" w:color="auto" w:sz="6" w:space="1"/>
      </w:pBdr>
      <w:jc w:val="center"/>
    </w:pPr>
    <w:rPr>
      <w:rFonts w:ascii="Arial" w:hAnsi="Arial" w:cs="Arial"/>
      <w:vanish/>
      <w:sz w:val="16"/>
      <w:szCs w:val="16"/>
    </w:rPr>
  </w:style>
  <w:style w:type="character" w:customStyle="1" w:styleId="236">
    <w:name w:val="正文首行缩进 Char"/>
    <w:link w:val="2"/>
    <w:qFormat/>
    <w:uiPriority w:val="0"/>
    <w:rPr>
      <w:rFonts w:ascii="Times New Roman" w:hAnsi="Times New Roman" w:eastAsia="宋体" w:cs="Times New Roman"/>
      <w:kern w:val="0"/>
      <w:sz w:val="20"/>
      <w:szCs w:val="20"/>
    </w:rPr>
  </w:style>
  <w:style w:type="character" w:customStyle="1" w:styleId="237">
    <w:name w:val="Char Char4"/>
    <w:link w:val="238"/>
    <w:qFormat/>
    <w:locked/>
    <w:uiPriority w:val="0"/>
    <w:rPr>
      <w:rFonts w:ascii="Calibri" w:hAnsi="Calibri" w:eastAsia="宋体" w:cs="Times New Roman"/>
      <w:sz w:val="24"/>
    </w:rPr>
  </w:style>
  <w:style w:type="paragraph" w:customStyle="1" w:styleId="238">
    <w:name w:val="Char"/>
    <w:basedOn w:val="1"/>
    <w:link w:val="237"/>
    <w:qFormat/>
    <w:uiPriority w:val="0"/>
    <w:pPr>
      <w:tabs>
        <w:tab w:val="left" w:pos="360"/>
      </w:tabs>
    </w:pPr>
    <w:rPr>
      <w:rFonts w:ascii="Calibri" w:hAnsi="Calibri" w:eastAsia="宋体" w:cs="Times New Roman"/>
      <w:sz w:val="24"/>
    </w:rPr>
  </w:style>
  <w:style w:type="character" w:customStyle="1" w:styleId="239">
    <w:name w:val="Char Char10"/>
    <w:qFormat/>
    <w:uiPriority w:val="0"/>
    <w:rPr>
      <w:rFonts w:hint="default" w:ascii="Cambria" w:hAnsi="Cambria" w:eastAsia="宋体"/>
      <w:b/>
      <w:bCs/>
      <w:i/>
      <w:iCs/>
      <w:sz w:val="28"/>
      <w:szCs w:val="28"/>
    </w:rPr>
  </w:style>
  <w:style w:type="character" w:customStyle="1" w:styleId="240">
    <w:name w:val="文档结构图 Char"/>
    <w:link w:val="18"/>
    <w:qFormat/>
    <w:uiPriority w:val="0"/>
    <w:rPr>
      <w:rFonts w:ascii="Calibri" w:hAnsi="Calibri" w:eastAsia="宋体" w:cs="Times New Roman"/>
      <w:shd w:val="clear" w:color="auto" w:fill="000080"/>
    </w:rPr>
  </w:style>
  <w:style w:type="character" w:customStyle="1" w:styleId="241">
    <w:name w:val="批注文字 字符1"/>
    <w:basedOn w:val="56"/>
    <w:semiHidden/>
    <w:qFormat/>
    <w:uiPriority w:val="99"/>
  </w:style>
  <w:style w:type="character" w:customStyle="1" w:styleId="242">
    <w:name w:val="正文文本缩进 3 字符1"/>
    <w:basedOn w:val="56"/>
    <w:semiHidden/>
    <w:qFormat/>
    <w:uiPriority w:val="99"/>
    <w:rPr>
      <w:sz w:val="16"/>
      <w:szCs w:val="16"/>
    </w:rPr>
  </w:style>
  <w:style w:type="character" w:customStyle="1" w:styleId="243">
    <w:name w:val="纯文本 字符1"/>
    <w:basedOn w:val="56"/>
    <w:semiHidden/>
    <w:qFormat/>
    <w:uiPriority w:val="99"/>
    <w:rPr>
      <w:rFonts w:hAnsi="Courier New" w:cs="Courier New" w:asciiTheme="minorEastAsia"/>
    </w:rPr>
  </w:style>
  <w:style w:type="character" w:customStyle="1" w:styleId="244">
    <w:name w:val="日期 字符1"/>
    <w:basedOn w:val="56"/>
    <w:semiHidden/>
    <w:qFormat/>
    <w:uiPriority w:val="99"/>
  </w:style>
  <w:style w:type="character" w:customStyle="1" w:styleId="245">
    <w:name w:val="尾注文本 字符1"/>
    <w:basedOn w:val="56"/>
    <w:semiHidden/>
    <w:qFormat/>
    <w:uiPriority w:val="99"/>
  </w:style>
  <w:style w:type="character" w:customStyle="1" w:styleId="246">
    <w:name w:val="文档结构图 字符1"/>
    <w:basedOn w:val="56"/>
    <w:semiHidden/>
    <w:qFormat/>
    <w:uiPriority w:val="99"/>
    <w:rPr>
      <w:rFonts w:ascii="Microsoft YaHei UI" w:eastAsia="Microsoft YaHei UI"/>
      <w:sz w:val="18"/>
      <w:szCs w:val="18"/>
    </w:rPr>
  </w:style>
  <w:style w:type="character" w:customStyle="1" w:styleId="247">
    <w:name w:val="正文文本缩进 2 字符1"/>
    <w:basedOn w:val="56"/>
    <w:semiHidden/>
    <w:qFormat/>
    <w:uiPriority w:val="99"/>
  </w:style>
  <w:style w:type="character" w:customStyle="1" w:styleId="248">
    <w:name w:val="批注框文本 字符1"/>
    <w:basedOn w:val="56"/>
    <w:semiHidden/>
    <w:qFormat/>
    <w:uiPriority w:val="99"/>
    <w:rPr>
      <w:sz w:val="18"/>
      <w:szCs w:val="18"/>
    </w:rPr>
  </w:style>
  <w:style w:type="character" w:customStyle="1" w:styleId="249">
    <w:name w:val="副标题 字符1"/>
    <w:basedOn w:val="56"/>
    <w:qFormat/>
    <w:uiPriority w:val="11"/>
    <w:rPr>
      <w:b/>
      <w:bCs/>
      <w:kern w:val="28"/>
      <w:sz w:val="32"/>
      <w:szCs w:val="32"/>
    </w:rPr>
  </w:style>
  <w:style w:type="character" w:customStyle="1" w:styleId="250">
    <w:name w:val="页脚 字符1"/>
    <w:basedOn w:val="56"/>
    <w:semiHidden/>
    <w:qFormat/>
    <w:uiPriority w:val="99"/>
    <w:rPr>
      <w:sz w:val="18"/>
      <w:szCs w:val="18"/>
    </w:rPr>
  </w:style>
  <w:style w:type="character" w:customStyle="1" w:styleId="251">
    <w:name w:val="页眉 字符1"/>
    <w:basedOn w:val="56"/>
    <w:semiHidden/>
    <w:qFormat/>
    <w:uiPriority w:val="99"/>
    <w:rPr>
      <w:sz w:val="18"/>
      <w:szCs w:val="18"/>
    </w:rPr>
  </w:style>
  <w:style w:type="character" w:customStyle="1" w:styleId="252">
    <w:name w:val="正文文本 2 字符1"/>
    <w:basedOn w:val="56"/>
    <w:semiHidden/>
    <w:qFormat/>
    <w:uiPriority w:val="99"/>
  </w:style>
  <w:style w:type="character" w:customStyle="1" w:styleId="253">
    <w:name w:val="脚注文本 字符1"/>
    <w:basedOn w:val="56"/>
    <w:semiHidden/>
    <w:qFormat/>
    <w:uiPriority w:val="99"/>
    <w:rPr>
      <w:sz w:val="18"/>
      <w:szCs w:val="18"/>
    </w:rPr>
  </w:style>
  <w:style w:type="character" w:customStyle="1" w:styleId="254">
    <w:name w:val="批注主题 字符1"/>
    <w:basedOn w:val="241"/>
    <w:semiHidden/>
    <w:qFormat/>
    <w:uiPriority w:val="99"/>
    <w:rPr>
      <w:b/>
      <w:bCs/>
    </w:rPr>
  </w:style>
  <w:style w:type="character" w:customStyle="1" w:styleId="255">
    <w:name w:val="标题 字符1"/>
    <w:basedOn w:val="56"/>
    <w:qFormat/>
    <w:uiPriority w:val="10"/>
    <w:rPr>
      <w:rFonts w:asciiTheme="majorHAnsi" w:hAnsiTheme="majorHAnsi" w:eastAsiaTheme="majorEastAsia" w:cstheme="majorBidi"/>
      <w:b/>
      <w:bCs/>
      <w:sz w:val="32"/>
      <w:szCs w:val="32"/>
    </w:rPr>
  </w:style>
  <w:style w:type="character" w:customStyle="1" w:styleId="256">
    <w:name w:val="正文文本首行缩进 字符1"/>
    <w:basedOn w:val="67"/>
    <w:semiHidden/>
    <w:qFormat/>
    <w:uiPriority w:val="99"/>
    <w:rPr>
      <w:rFonts w:ascii="宋体" w:hAnsi="宋体" w:eastAsia="宋体" w:cs="宋体"/>
      <w:kern w:val="0"/>
      <w:sz w:val="24"/>
      <w:szCs w:val="24"/>
    </w:rPr>
  </w:style>
  <w:style w:type="paragraph" w:customStyle="1" w:styleId="257">
    <w:name w:val="H5"/>
    <w:basedOn w:val="1"/>
    <w:next w:val="1"/>
    <w:qFormat/>
    <w:uiPriority w:val="0"/>
    <w:pPr>
      <w:keepNext/>
      <w:autoSpaceDE w:val="0"/>
      <w:autoSpaceDN w:val="0"/>
      <w:adjustRightInd w:val="0"/>
      <w:spacing w:before="100" w:after="100"/>
      <w:jc w:val="left"/>
      <w:outlineLvl w:val="5"/>
    </w:pPr>
    <w:rPr>
      <w:rFonts w:ascii="Calibri" w:hAnsi="Calibri" w:eastAsia="宋体" w:cs="Times New Roman"/>
      <w:b/>
      <w:kern w:val="0"/>
      <w:sz w:val="20"/>
      <w:szCs w:val="20"/>
    </w:rPr>
  </w:style>
  <w:style w:type="paragraph" w:customStyle="1" w:styleId="258">
    <w:name w:val="标题 3_0_0"/>
    <w:basedOn w:val="160"/>
    <w:next w:val="160"/>
    <w:qFormat/>
    <w:uiPriority w:val="0"/>
    <w:pPr>
      <w:keepNext/>
      <w:keepLines/>
      <w:spacing w:before="260" w:after="260" w:line="415" w:lineRule="auto"/>
    </w:pPr>
    <w:rPr>
      <w:b/>
      <w:bCs/>
      <w:szCs w:val="32"/>
    </w:rPr>
  </w:style>
  <w:style w:type="paragraph" w:customStyle="1" w:styleId="259">
    <w:name w:val="标题2"/>
    <w:basedOn w:val="5"/>
    <w:next w:val="1"/>
    <w:qFormat/>
    <w:uiPriority w:val="0"/>
    <w:pPr>
      <w:snapToGrid w:val="0"/>
      <w:spacing w:before="120" w:after="120" w:line="240" w:lineRule="auto"/>
      <w:jc w:val="left"/>
    </w:pPr>
    <w:rPr>
      <w:b w:val="0"/>
      <w:bCs/>
      <w:sz w:val="21"/>
      <w:szCs w:val="21"/>
    </w:rPr>
  </w:style>
  <w:style w:type="paragraph" w:customStyle="1" w:styleId="260">
    <w:name w:val="表1"/>
    <w:basedOn w:val="1"/>
    <w:qFormat/>
    <w:uiPriority w:val="0"/>
    <w:pPr>
      <w:overflowPunct w:val="0"/>
      <w:autoSpaceDE w:val="0"/>
      <w:autoSpaceDN w:val="0"/>
      <w:adjustRightInd w:val="0"/>
      <w:spacing w:before="200" w:line="320" w:lineRule="atLeast"/>
      <w:textAlignment w:val="baseline"/>
    </w:pPr>
    <w:rPr>
      <w:rFonts w:ascii="Times New Roman" w:hAnsi="Times New Roman" w:eastAsia="宋体" w:cs="Times New Roman"/>
      <w:kern w:val="0"/>
      <w:sz w:val="24"/>
      <w:szCs w:val="20"/>
    </w:rPr>
  </w:style>
  <w:style w:type="paragraph" w:customStyle="1" w:styleId="261">
    <w:name w:val="样式8"/>
    <w:basedOn w:val="1"/>
    <w:qFormat/>
    <w:uiPriority w:val="0"/>
    <w:pPr>
      <w:keepNext/>
      <w:keepLines/>
      <w:widowControl/>
      <w:spacing w:before="260" w:after="260"/>
      <w:jc w:val="center"/>
      <w:outlineLvl w:val="1"/>
    </w:pPr>
    <w:rPr>
      <w:rFonts w:ascii="Arial" w:hAnsi="Arial" w:eastAsia="黑体" w:cs="Times New Roman"/>
      <w:b/>
      <w:bCs/>
      <w:kern w:val="0"/>
      <w:sz w:val="72"/>
      <w:szCs w:val="32"/>
    </w:rPr>
  </w:style>
  <w:style w:type="paragraph" w:customStyle="1" w:styleId="262">
    <w:name w:val="普通 (Web)"/>
    <w:basedOn w:val="1"/>
    <w:qFormat/>
    <w:uiPriority w:val="0"/>
    <w:pPr>
      <w:widowControl/>
      <w:spacing w:before="100" w:after="100"/>
      <w:jc w:val="left"/>
    </w:pPr>
    <w:rPr>
      <w:rFonts w:ascii="Arial Unicode MS" w:hAnsi="Arial Unicode MS" w:eastAsia="Arial Unicode MS" w:cs="Times New Roman"/>
      <w:kern w:val="0"/>
      <w:sz w:val="24"/>
      <w:szCs w:val="20"/>
    </w:rPr>
  </w:style>
  <w:style w:type="paragraph" w:customStyle="1" w:styleId="263">
    <w:name w:val="格式3"/>
    <w:basedOn w:val="1"/>
    <w:qFormat/>
    <w:uiPriority w:val="0"/>
    <w:pPr>
      <w:tabs>
        <w:tab w:val="left" w:pos="1222"/>
        <w:tab w:val="left" w:pos="1626"/>
      </w:tabs>
      <w:adjustRightInd w:val="0"/>
      <w:snapToGrid w:val="0"/>
      <w:spacing w:line="360" w:lineRule="auto"/>
      <w:ind w:left="1701" w:hanging="397"/>
    </w:pPr>
    <w:rPr>
      <w:rFonts w:ascii="宋体" w:hAnsi="宋体" w:eastAsia="宋体" w:cs="Times New Roman"/>
      <w:szCs w:val="20"/>
    </w:rPr>
  </w:style>
  <w:style w:type="character" w:customStyle="1" w:styleId="264">
    <w:name w:val="z-窗体底端 字符1"/>
    <w:basedOn w:val="56"/>
    <w:semiHidden/>
    <w:qFormat/>
    <w:uiPriority w:val="99"/>
    <w:rPr>
      <w:rFonts w:ascii="Arial" w:hAnsi="Arial" w:cs="Arial"/>
      <w:vanish/>
      <w:sz w:val="16"/>
      <w:szCs w:val="16"/>
    </w:rPr>
  </w:style>
  <w:style w:type="paragraph" w:customStyle="1" w:styleId="265">
    <w:name w:val="格式10"/>
    <w:basedOn w:val="1"/>
    <w:qFormat/>
    <w:uiPriority w:val="0"/>
    <w:pPr>
      <w:spacing w:line="360" w:lineRule="exact"/>
      <w:ind w:left="480"/>
    </w:pPr>
    <w:rPr>
      <w:rFonts w:ascii="Times New Roman" w:hAnsi="Times New Roman" w:eastAsia="宋体" w:cs="Times New Roman"/>
      <w:sz w:val="24"/>
      <w:szCs w:val="20"/>
    </w:rPr>
  </w:style>
  <w:style w:type="paragraph" w:customStyle="1" w:styleId="266">
    <w:name w:val="Char11"/>
    <w:basedOn w:val="1"/>
    <w:qFormat/>
    <w:uiPriority w:val="0"/>
    <w:pPr>
      <w:tabs>
        <w:tab w:val="left" w:pos="360"/>
      </w:tabs>
    </w:pPr>
    <w:rPr>
      <w:rFonts w:ascii="Calibri" w:hAnsi="Calibri" w:eastAsia="宋体" w:cs="Times New Roman"/>
      <w:sz w:val="24"/>
    </w:rPr>
  </w:style>
  <w:style w:type="character" w:customStyle="1" w:styleId="267">
    <w:name w:val="引用 字符1"/>
    <w:basedOn w:val="56"/>
    <w:qFormat/>
    <w:uiPriority w:val="29"/>
    <w:rPr>
      <w:i/>
      <w:iCs/>
      <w:color w:val="404040" w:themeColor="text1" w:themeTint="BF"/>
      <w14:textFill>
        <w14:solidFill>
          <w14:schemeClr w14:val="tx1">
            <w14:lumMod w14:val="75000"/>
            <w14:lumOff w14:val="25000"/>
          </w14:schemeClr>
        </w14:solidFill>
      </w14:textFill>
    </w:rPr>
  </w:style>
  <w:style w:type="paragraph" w:customStyle="1" w:styleId="268">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269">
    <w:name w:val="H4"/>
    <w:basedOn w:val="1"/>
    <w:next w:val="1"/>
    <w:qFormat/>
    <w:uiPriority w:val="0"/>
    <w:pPr>
      <w:keepNext/>
      <w:autoSpaceDE w:val="0"/>
      <w:autoSpaceDN w:val="0"/>
      <w:adjustRightInd w:val="0"/>
      <w:spacing w:before="100" w:after="100"/>
      <w:jc w:val="left"/>
      <w:outlineLvl w:val="4"/>
    </w:pPr>
    <w:rPr>
      <w:rFonts w:ascii="Calibri" w:hAnsi="Calibri" w:eastAsia="宋体" w:cs="Times New Roman"/>
      <w:b/>
      <w:kern w:val="0"/>
      <w:sz w:val="24"/>
      <w:szCs w:val="20"/>
    </w:rPr>
  </w:style>
  <w:style w:type="paragraph" w:customStyle="1" w:styleId="270">
    <w:name w:val="默认段落字体 Para Char Char Char Char"/>
    <w:basedOn w:val="1"/>
    <w:qFormat/>
    <w:uiPriority w:val="0"/>
    <w:rPr>
      <w:rFonts w:ascii="Times New Roman" w:hAnsi="Times New Roman" w:eastAsia="宋体" w:cs="Times New Roman"/>
      <w:szCs w:val="24"/>
    </w:rPr>
  </w:style>
  <w:style w:type="paragraph" w:customStyle="1" w:styleId="271">
    <w:name w:val="标题 4_0"/>
    <w:basedOn w:val="130"/>
    <w:next w:val="130"/>
    <w:qFormat/>
    <w:uiPriority w:val="0"/>
    <w:pPr>
      <w:keepNext/>
      <w:keepLines/>
      <w:spacing w:before="280" w:after="290" w:line="374" w:lineRule="auto"/>
      <w:outlineLvl w:val="3"/>
    </w:pPr>
    <w:rPr>
      <w:rFonts w:ascii="Arial" w:hAnsi="Arial" w:eastAsia="黑体"/>
      <w:b/>
      <w:bCs/>
      <w:sz w:val="28"/>
      <w:szCs w:val="28"/>
    </w:rPr>
  </w:style>
  <w:style w:type="paragraph" w:customStyle="1" w:styleId="272">
    <w:name w:val="样式2"/>
    <w:basedOn w:val="6"/>
    <w:qFormat/>
    <w:uiPriority w:val="0"/>
  </w:style>
  <w:style w:type="paragraph" w:customStyle="1" w:styleId="273">
    <w:name w:val="样式 (西文) 仿宋_GB2312 居中 行距: 1.5 倍行距"/>
    <w:basedOn w:val="1"/>
    <w:qFormat/>
    <w:uiPriority w:val="0"/>
    <w:pPr>
      <w:spacing w:line="360" w:lineRule="auto"/>
      <w:jc w:val="center"/>
    </w:pPr>
    <w:rPr>
      <w:rFonts w:ascii="宋体" w:hAnsi="宋体" w:eastAsia="宋体" w:cs="宋体"/>
      <w:kern w:val="0"/>
      <w:szCs w:val="20"/>
    </w:rPr>
  </w:style>
  <w:style w:type="paragraph" w:customStyle="1" w:styleId="274">
    <w:name w:val="2"/>
    <w:basedOn w:val="1"/>
    <w:qFormat/>
    <w:uiPriority w:val="0"/>
    <w:pPr>
      <w:tabs>
        <w:tab w:val="left" w:pos="1955"/>
      </w:tabs>
      <w:spacing w:line="460" w:lineRule="exact"/>
      <w:ind w:left="1955" w:hanging="975"/>
    </w:pPr>
    <w:rPr>
      <w:rFonts w:ascii="Times New Roman" w:hAnsi="Times New Roman" w:eastAsia="宋体" w:cs="Times New Roman"/>
      <w:sz w:val="28"/>
      <w:szCs w:val="20"/>
    </w:rPr>
  </w:style>
  <w:style w:type="paragraph" w:customStyle="1" w:styleId="275">
    <w:name w:val="表头"/>
    <w:basedOn w:val="1"/>
    <w:qFormat/>
    <w:uiPriority w:val="0"/>
    <w:pPr>
      <w:spacing w:line="360" w:lineRule="auto"/>
      <w:jc w:val="center"/>
    </w:pPr>
    <w:rPr>
      <w:rFonts w:ascii="黑体" w:hAnsi="Times New Roman" w:eastAsia="黑体" w:cs="Times New Roman"/>
      <w:kern w:val="0"/>
      <w:sz w:val="24"/>
      <w:szCs w:val="20"/>
    </w:rPr>
  </w:style>
  <w:style w:type="paragraph" w:customStyle="1" w:styleId="276">
    <w:name w:val="表格文字"/>
    <w:basedOn w:val="1"/>
    <w:qFormat/>
    <w:uiPriority w:val="0"/>
    <w:pPr>
      <w:adjustRightInd w:val="0"/>
      <w:spacing w:line="420" w:lineRule="atLeast"/>
      <w:jc w:val="left"/>
    </w:pPr>
    <w:rPr>
      <w:rFonts w:ascii="Calibri" w:hAnsi="Calibri" w:eastAsia="宋体" w:cs="Times New Roman"/>
      <w:kern w:val="0"/>
      <w:szCs w:val="20"/>
    </w:rPr>
  </w:style>
  <w:style w:type="paragraph" w:customStyle="1" w:styleId="277">
    <w:name w:val="标题 4_0_0"/>
    <w:basedOn w:val="134"/>
    <w:next w:val="134"/>
    <w:qFormat/>
    <w:uiPriority w:val="0"/>
    <w:pPr>
      <w:keepNext/>
      <w:keepLines/>
      <w:spacing w:before="280" w:after="290" w:line="374" w:lineRule="auto"/>
      <w:outlineLvl w:val="3"/>
    </w:pPr>
    <w:rPr>
      <w:rFonts w:ascii="Arial" w:hAnsi="Arial" w:eastAsia="黑体"/>
      <w:b/>
      <w:bCs/>
      <w:sz w:val="28"/>
      <w:szCs w:val="28"/>
    </w:rPr>
  </w:style>
  <w:style w:type="paragraph" w:customStyle="1" w:styleId="278">
    <w:name w:val="red"/>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279">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280">
    <w:name w:val="pa-5"/>
    <w:basedOn w:val="1"/>
    <w:qFormat/>
    <w:uiPriority w:val="0"/>
    <w:pPr>
      <w:widowControl/>
      <w:spacing w:line="240" w:lineRule="atLeast"/>
      <w:jc w:val="center"/>
    </w:pPr>
    <w:rPr>
      <w:rFonts w:ascii="宋体" w:hAnsi="宋体" w:eastAsia="宋体" w:cs="宋体"/>
      <w:kern w:val="0"/>
      <w:sz w:val="24"/>
      <w:szCs w:val="24"/>
    </w:rPr>
  </w:style>
  <w:style w:type="paragraph" w:customStyle="1" w:styleId="281">
    <w:name w:val="TOC 标题1"/>
    <w:basedOn w:val="4"/>
    <w:next w:val="1"/>
    <w:qFormat/>
    <w:uiPriority w:val="0"/>
    <w:pPr>
      <w:widowControl/>
      <w:spacing w:before="480" w:after="0" w:line="276" w:lineRule="auto"/>
      <w:outlineLvl w:val="9"/>
    </w:pPr>
    <w:rPr>
      <w:rFonts w:ascii="Cambria" w:hAnsi="Cambria"/>
      <w:color w:val="365F91"/>
      <w:kern w:val="0"/>
      <w:sz w:val="28"/>
    </w:rPr>
  </w:style>
  <w:style w:type="paragraph" w:customStyle="1" w:styleId="282">
    <w:name w:val="正文文本 3_0"/>
    <w:basedOn w:val="229"/>
    <w:qFormat/>
    <w:uiPriority w:val="0"/>
    <w:rPr>
      <w:rFonts w:ascii="宋体"/>
      <w:sz w:val="24"/>
      <w:szCs w:val="20"/>
    </w:rPr>
  </w:style>
  <w:style w:type="paragraph" w:customStyle="1" w:styleId="283">
    <w:name w:val="Char1"/>
    <w:basedOn w:val="1"/>
    <w:qFormat/>
    <w:uiPriority w:val="0"/>
    <w:pPr>
      <w:ind w:firstLine="200" w:firstLineChars="200"/>
    </w:pPr>
    <w:rPr>
      <w:rFonts w:ascii="Calibri" w:hAnsi="Calibri" w:eastAsia="宋体" w:cs="Times New Roman"/>
      <w:sz w:val="24"/>
      <w:szCs w:val="24"/>
    </w:rPr>
  </w:style>
  <w:style w:type="paragraph" w:customStyle="1" w:styleId="284">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2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286">
    <w:name w:val="Char Char Char Char Char Char Char Char Char Char Char Char Char Char Char Char Char Char Char"/>
    <w:basedOn w:val="1"/>
    <w:qFormat/>
    <w:uiPriority w:val="0"/>
    <w:rPr>
      <w:rFonts w:ascii="Times New Roman" w:hAnsi="Times New Roman" w:eastAsia="宋体" w:cs="Times New Roman"/>
      <w:szCs w:val="20"/>
    </w:rPr>
  </w:style>
  <w:style w:type="paragraph" w:customStyle="1" w:styleId="287">
    <w:name w:val="p0"/>
    <w:basedOn w:val="1"/>
    <w:qFormat/>
    <w:uiPriority w:val="0"/>
    <w:pPr>
      <w:widowControl/>
      <w:spacing w:line="440" w:lineRule="exact"/>
      <w:ind w:firstLine="200" w:firstLineChars="200"/>
    </w:pPr>
    <w:rPr>
      <w:rFonts w:ascii="Times New Roman" w:hAnsi="Times New Roman" w:eastAsia="宋体" w:cs="Times New Roman"/>
      <w:kern w:val="0"/>
      <w:szCs w:val="21"/>
    </w:rPr>
  </w:style>
  <w:style w:type="paragraph" w:customStyle="1" w:styleId="288">
    <w:name w:val="Definition List"/>
    <w:basedOn w:val="1"/>
    <w:next w:val="289"/>
    <w:qFormat/>
    <w:uiPriority w:val="0"/>
    <w:pPr>
      <w:autoSpaceDE w:val="0"/>
      <w:autoSpaceDN w:val="0"/>
      <w:adjustRightInd w:val="0"/>
      <w:ind w:left="360"/>
      <w:jc w:val="left"/>
    </w:pPr>
    <w:rPr>
      <w:rFonts w:ascii="Calibri" w:hAnsi="Calibri" w:eastAsia="宋体" w:cs="Times New Roman"/>
      <w:kern w:val="0"/>
      <w:sz w:val="24"/>
      <w:szCs w:val="20"/>
    </w:rPr>
  </w:style>
  <w:style w:type="paragraph" w:customStyle="1" w:styleId="289">
    <w:name w:val="Definition Term"/>
    <w:basedOn w:val="1"/>
    <w:next w:val="288"/>
    <w:qFormat/>
    <w:uiPriority w:val="0"/>
    <w:pPr>
      <w:autoSpaceDE w:val="0"/>
      <w:autoSpaceDN w:val="0"/>
      <w:adjustRightInd w:val="0"/>
      <w:jc w:val="left"/>
    </w:pPr>
    <w:rPr>
      <w:rFonts w:ascii="Calibri" w:hAnsi="Calibri" w:eastAsia="宋体" w:cs="Times New Roman"/>
      <w:kern w:val="0"/>
      <w:sz w:val="24"/>
      <w:szCs w:val="20"/>
    </w:rPr>
  </w:style>
  <w:style w:type="paragraph" w:customStyle="1" w:styleId="290">
    <w:name w:val="H6"/>
    <w:basedOn w:val="1"/>
    <w:next w:val="1"/>
    <w:qFormat/>
    <w:uiPriority w:val="0"/>
    <w:pPr>
      <w:keepNext/>
      <w:autoSpaceDE w:val="0"/>
      <w:autoSpaceDN w:val="0"/>
      <w:adjustRightInd w:val="0"/>
      <w:spacing w:before="100" w:after="100"/>
      <w:jc w:val="left"/>
      <w:outlineLvl w:val="6"/>
    </w:pPr>
    <w:rPr>
      <w:rFonts w:ascii="Calibri" w:hAnsi="Calibri" w:eastAsia="宋体" w:cs="Times New Roman"/>
      <w:b/>
      <w:kern w:val="0"/>
      <w:sz w:val="16"/>
      <w:szCs w:val="20"/>
    </w:rPr>
  </w:style>
  <w:style w:type="character" w:customStyle="1" w:styleId="291">
    <w:name w:val="z-窗体顶端 字符1"/>
    <w:basedOn w:val="56"/>
    <w:semiHidden/>
    <w:qFormat/>
    <w:uiPriority w:val="99"/>
    <w:rPr>
      <w:rFonts w:ascii="Arial" w:hAnsi="Arial" w:cs="Arial"/>
      <w:vanish/>
      <w:sz w:val="16"/>
      <w:szCs w:val="16"/>
    </w:rPr>
  </w:style>
  <w:style w:type="character" w:customStyle="1" w:styleId="292">
    <w:name w:val="明显引用 字符1"/>
    <w:basedOn w:val="56"/>
    <w:qFormat/>
    <w:uiPriority w:val="30"/>
    <w:rPr>
      <w:i/>
      <w:iCs/>
      <w:color w:val="4472C4" w:themeColor="accent1"/>
      <w14:textFill>
        <w14:solidFill>
          <w14:schemeClr w14:val="accent1"/>
        </w14:solidFill>
      </w14:textFill>
    </w:rPr>
  </w:style>
  <w:style w:type="paragraph" w:customStyle="1" w:styleId="293">
    <w:name w:val="样式 正文缩进正文（首行缩进两字）特点ALT+Z表正文正文非缩进四号段1Normal Indent Char2...2"/>
    <w:basedOn w:val="6"/>
    <w:qFormat/>
    <w:uiPriority w:val="0"/>
    <w:pPr>
      <w:tabs>
        <w:tab w:val="left" w:pos="1680"/>
      </w:tabs>
      <w:spacing w:before="360" w:line="360" w:lineRule="auto"/>
      <w:ind w:left="1680" w:hanging="420"/>
      <w:jc w:val="center"/>
    </w:pPr>
    <w:rPr>
      <w:rFonts w:ascii="宋体" w:hAnsi="宋体"/>
      <w:bCs/>
      <w:kern w:val="0"/>
      <w:sz w:val="28"/>
    </w:rPr>
  </w:style>
  <w:style w:type="paragraph" w:customStyle="1" w:styleId="294">
    <w:name w:val="xl31"/>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295">
    <w:name w:val="样式 正文缩进正文（首行缩进两字）特点ALT+Z表正文正文非缩进四号段1Normal Indent Char2..."/>
    <w:basedOn w:val="5"/>
    <w:next w:val="6"/>
    <w:qFormat/>
    <w:uiPriority w:val="0"/>
    <w:pPr>
      <w:tabs>
        <w:tab w:val="left" w:pos="840"/>
      </w:tabs>
      <w:spacing w:before="240" w:after="120" w:line="400" w:lineRule="exact"/>
      <w:ind w:left="840" w:hanging="420"/>
      <w:jc w:val="center"/>
    </w:pPr>
    <w:rPr>
      <w:rFonts w:ascii="宋体" w:hAnsi="宋体"/>
      <w:bCs/>
      <w:kern w:val="0"/>
    </w:rPr>
  </w:style>
  <w:style w:type="paragraph" w:customStyle="1" w:styleId="296">
    <w:name w:val="样式 正文缩进正文（首行缩进两字）特点ALT+Z表正文正文非缩进四号段1Normal Indent Char2...4"/>
    <w:basedOn w:val="22"/>
    <w:qFormat/>
    <w:uiPriority w:val="0"/>
    <w:pPr>
      <w:tabs>
        <w:tab w:val="left" w:pos="510"/>
        <w:tab w:val="left" w:pos="2520"/>
      </w:tabs>
      <w:spacing w:after="0" w:line="300" w:lineRule="auto"/>
      <w:ind w:left="2520" w:leftChars="0" w:hanging="420"/>
    </w:pPr>
    <w:rPr>
      <w:rFonts w:ascii="Times New Roman" w:hAnsi="宋体" w:eastAsia="宋体" w:cs="Times New Roman"/>
      <w:kern w:val="0"/>
      <w:sz w:val="24"/>
      <w:szCs w:val="20"/>
    </w:rPr>
  </w:style>
  <w:style w:type="paragraph" w:customStyle="1" w:styleId="297">
    <w:name w:val="表格文字居中"/>
    <w:basedOn w:val="1"/>
    <w:next w:val="1"/>
    <w:qFormat/>
    <w:uiPriority w:val="0"/>
    <w:pPr>
      <w:tabs>
        <w:tab w:val="left" w:pos="720"/>
        <w:tab w:val="left" w:pos="900"/>
      </w:tabs>
      <w:adjustRightInd w:val="0"/>
      <w:snapToGrid w:val="0"/>
      <w:spacing w:before="62" w:beforeLines="20" w:after="62" w:afterLines="20" w:line="360" w:lineRule="auto"/>
      <w:jc w:val="center"/>
    </w:pPr>
    <w:rPr>
      <w:rFonts w:ascii="宋体" w:hAnsi="Arial" w:eastAsia="宋体" w:cs="Times New Roman"/>
      <w:kern w:val="0"/>
      <w:sz w:val="18"/>
      <w:szCs w:val="20"/>
    </w:rPr>
  </w:style>
  <w:style w:type="paragraph" w:customStyle="1" w:styleId="298">
    <w:name w:val="表蕊"/>
    <w:basedOn w:val="1"/>
    <w:qFormat/>
    <w:uiPriority w:val="0"/>
    <w:pPr>
      <w:adjustRightInd w:val="0"/>
      <w:spacing w:line="320" w:lineRule="atLeast"/>
      <w:jc w:val="left"/>
      <w:textAlignment w:val="baseline"/>
    </w:pPr>
    <w:rPr>
      <w:rFonts w:ascii="Times New Roman" w:hAnsi="Times New Roman" w:eastAsia="楷体_GB2312" w:cs="Times New Roman"/>
      <w:spacing w:val="-10"/>
      <w:kern w:val="0"/>
      <w:szCs w:val="20"/>
    </w:rPr>
  </w:style>
  <w:style w:type="paragraph" w:customStyle="1" w:styleId="299">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30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301">
    <w:name w:val="纯文本1"/>
    <w:basedOn w:val="1"/>
    <w:qFormat/>
    <w:uiPriority w:val="0"/>
    <w:pPr>
      <w:adjustRightInd w:val="0"/>
      <w:textAlignment w:val="baseline"/>
    </w:pPr>
    <w:rPr>
      <w:rFonts w:ascii="宋体" w:hAnsi="Courier New" w:eastAsia="宋体" w:cs="Times New Roman"/>
      <w:szCs w:val="20"/>
    </w:rPr>
  </w:style>
  <w:style w:type="paragraph" w:customStyle="1" w:styleId="302">
    <w:name w:val="1"/>
    <w:basedOn w:val="1"/>
    <w:next w:val="1"/>
    <w:qFormat/>
    <w:uiPriority w:val="0"/>
    <w:rPr>
      <w:rFonts w:ascii="Calibri" w:hAnsi="Calibri" w:eastAsia="宋体" w:cs="Times New Roman"/>
    </w:rPr>
  </w:style>
  <w:style w:type="paragraph" w:customStyle="1" w:styleId="303">
    <w:name w:val="Char Char Char Char Char Char Char Char Char Char Char Char Char Char Char Char Char Char Char1"/>
    <w:basedOn w:val="1"/>
    <w:qFormat/>
    <w:uiPriority w:val="0"/>
    <w:rPr>
      <w:rFonts w:ascii="Times New Roman" w:hAnsi="Times New Roman" w:eastAsia="宋体" w:cs="Times New Roman"/>
      <w:szCs w:val="20"/>
    </w:rPr>
  </w:style>
  <w:style w:type="paragraph" w:customStyle="1" w:styleId="304">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05">
    <w:name w:val="纯文本11"/>
    <w:basedOn w:val="1"/>
    <w:qFormat/>
    <w:uiPriority w:val="0"/>
    <w:pPr>
      <w:widowControl/>
      <w:spacing w:line="440" w:lineRule="exact"/>
      <w:ind w:firstLine="200" w:firstLineChars="200"/>
      <w:jc w:val="left"/>
    </w:pPr>
    <w:rPr>
      <w:rFonts w:ascii="宋体" w:hAnsi="Courier New" w:eastAsia="宋体" w:cs="Times New Roman"/>
      <w:kern w:val="0"/>
      <w:sz w:val="24"/>
      <w:szCs w:val="20"/>
      <w:lang w:eastAsia="en-US"/>
    </w:rPr>
  </w:style>
  <w:style w:type="paragraph" w:customStyle="1" w:styleId="306">
    <w:name w:val="格式2"/>
    <w:qFormat/>
    <w:uiPriority w:val="0"/>
    <w:pPr>
      <w:widowControl w:val="0"/>
      <w:adjustRightInd w:val="0"/>
      <w:snapToGrid w:val="0"/>
      <w:spacing w:before="50" w:line="440" w:lineRule="exact"/>
      <w:jc w:val="both"/>
    </w:pPr>
    <w:rPr>
      <w:rFonts w:ascii="Calibri" w:hAnsi="Calibri" w:eastAsia="宋体" w:cs="Times New Roman"/>
      <w:snapToGrid w:val="0"/>
      <w:sz w:val="24"/>
      <w:lang w:val="en-US" w:eastAsia="zh-CN" w:bidi="ar-SA"/>
    </w:rPr>
  </w:style>
  <w:style w:type="paragraph" w:customStyle="1" w:styleId="307">
    <w:name w:val="修订1"/>
    <w:qFormat/>
    <w:uiPriority w:val="0"/>
    <w:rPr>
      <w:rFonts w:ascii="Calibri" w:hAnsi="Calibri" w:eastAsia="宋体" w:cs="Times New Roman"/>
      <w:kern w:val="2"/>
      <w:sz w:val="21"/>
      <w:szCs w:val="22"/>
      <w:lang w:val="en-US" w:eastAsia="zh-CN" w:bidi="ar-SA"/>
    </w:rPr>
  </w:style>
  <w:style w:type="paragraph" w:customStyle="1" w:styleId="308">
    <w:name w:val="样式 标题 3 + (中文) 黑体 小四 非加粗 段前: 7.8 磅 段后: 0 磅 行距: 固定值 20 磅"/>
    <w:basedOn w:val="6"/>
    <w:qFormat/>
    <w:uiPriority w:val="0"/>
    <w:pPr>
      <w:spacing w:before="0" w:after="0" w:line="400" w:lineRule="exact"/>
    </w:pPr>
    <w:rPr>
      <w:rFonts w:eastAsia="黑体"/>
      <w:b w:val="0"/>
      <w:bCs/>
      <w:sz w:val="24"/>
    </w:rPr>
  </w:style>
  <w:style w:type="paragraph" w:customStyle="1" w:styleId="309">
    <w:name w:val="表格3"/>
    <w:basedOn w:val="1"/>
    <w:qFormat/>
    <w:uiPriority w:val="0"/>
    <w:pPr>
      <w:adjustRightInd w:val="0"/>
      <w:spacing w:line="420" w:lineRule="atLeast"/>
      <w:textAlignment w:val="baseline"/>
    </w:pPr>
    <w:rPr>
      <w:rFonts w:ascii="Times New Roman" w:hAnsi="Times New Roman" w:eastAsia="楷体" w:cs="Times New Roman"/>
      <w:kern w:val="0"/>
      <w:szCs w:val="20"/>
    </w:rPr>
  </w:style>
  <w:style w:type="paragraph" w:customStyle="1" w:styleId="310">
    <w:name w:val="样式 正文缩进正文（首行缩进两字）特点ALT+Z表正文正文非缩进四号段1Normal Indent Char2...1"/>
    <w:basedOn w:val="5"/>
    <w:qFormat/>
    <w:uiPriority w:val="0"/>
    <w:pPr>
      <w:tabs>
        <w:tab w:val="left" w:pos="1260"/>
      </w:tabs>
      <w:spacing w:before="1320" w:after="240" w:line="300" w:lineRule="auto"/>
      <w:ind w:left="1260" w:hanging="420"/>
      <w:jc w:val="center"/>
    </w:pPr>
    <w:rPr>
      <w:bCs/>
      <w:kern w:val="0"/>
    </w:rPr>
  </w:style>
  <w:style w:type="paragraph" w:customStyle="1" w:styleId="311">
    <w:name w:val="样式 标题 1 + 黑体 三号 非加粗 居中 段前: 6 磅 段后: 6 磅 行距: 固定值 20 磅"/>
    <w:basedOn w:val="4"/>
    <w:qFormat/>
    <w:uiPriority w:val="0"/>
    <w:pPr>
      <w:spacing w:before="120" w:after="120" w:line="400" w:lineRule="exact"/>
    </w:pPr>
    <w:rPr>
      <w:rFonts w:ascii="黑体" w:hAnsi="黑体" w:eastAsia="黑体"/>
      <w:b w:val="0"/>
      <w:bCs/>
      <w:sz w:val="32"/>
    </w:rPr>
  </w:style>
  <w:style w:type="paragraph" w:customStyle="1" w:styleId="312">
    <w:name w:val="样式 标题 1 + 宋体 居中 段前: 48 磅 段后: 12 磅 行距: 1.5 倍行距"/>
    <w:basedOn w:val="4"/>
    <w:qFormat/>
    <w:uiPriority w:val="0"/>
    <w:pPr>
      <w:snapToGrid w:val="0"/>
      <w:spacing w:before="1560" w:after="240"/>
    </w:pPr>
    <w:rPr>
      <w:rFonts w:ascii="宋体" w:hAnsi="宋体"/>
      <w:b w:val="0"/>
      <w:bCs/>
      <w:kern w:val="2"/>
      <w:sz w:val="36"/>
    </w:rPr>
  </w:style>
  <w:style w:type="paragraph" w:customStyle="1" w:styleId="313">
    <w:name w:val="样式 宋体"/>
    <w:basedOn w:val="1"/>
    <w:qFormat/>
    <w:uiPriority w:val="0"/>
    <w:pPr>
      <w:spacing w:line="360" w:lineRule="auto"/>
      <w:ind w:firstLine="100" w:firstLineChars="100"/>
    </w:pPr>
    <w:rPr>
      <w:rFonts w:ascii="宋体" w:hAnsi="宋体" w:eastAsia="宋体" w:cs="宋体"/>
      <w:szCs w:val="20"/>
    </w:rPr>
  </w:style>
  <w:style w:type="paragraph" w:customStyle="1" w:styleId="31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16">
    <w:name w:val="xl30"/>
    <w:basedOn w:val="1"/>
    <w:qFormat/>
    <w:uiPriority w:val="0"/>
    <w:pPr>
      <w:widowControl/>
      <w:pBdr>
        <w:left w:val="single" w:color="auto" w:sz="6" w:space="0"/>
        <w:bottom w:val="single" w:color="auto" w:sz="6" w:space="0"/>
        <w:right w:val="single" w:color="auto" w:sz="6" w:space="0"/>
      </w:pBdr>
      <w:adjustRightInd w:val="0"/>
      <w:spacing w:before="100" w:after="100"/>
      <w:jc w:val="center"/>
      <w:textAlignment w:val="center"/>
    </w:pPr>
    <w:rPr>
      <w:rFonts w:ascii="宋体" w:hAnsi="宋体" w:eastAsia="宋体" w:cs="Times New Roman"/>
      <w:kern w:val="0"/>
      <w:szCs w:val="20"/>
    </w:rPr>
  </w:style>
  <w:style w:type="paragraph" w:customStyle="1" w:styleId="317">
    <w:name w:val="文档结构图1"/>
    <w:basedOn w:val="1"/>
    <w:qFormat/>
    <w:uiPriority w:val="0"/>
    <w:pPr>
      <w:shd w:val="clear" w:color="auto" w:fill="000080"/>
      <w:spacing w:line="440" w:lineRule="exact"/>
      <w:ind w:firstLine="200" w:firstLineChars="200"/>
    </w:pPr>
    <w:rPr>
      <w:rFonts w:ascii="Times New Roman" w:hAnsi="Times New Roman" w:eastAsia="宋体" w:cs="Times New Roman"/>
      <w:szCs w:val="24"/>
    </w:rPr>
  </w:style>
  <w:style w:type="paragraph" w:customStyle="1" w:styleId="318">
    <w:name w:val="默认段落字体 Para Char Char Char Char Char Char Char"/>
    <w:basedOn w:val="1"/>
    <w:qFormat/>
    <w:uiPriority w:val="0"/>
    <w:rPr>
      <w:rFonts w:ascii="Tahoma" w:hAnsi="Tahoma" w:eastAsia="宋体" w:cs="Times New Roman"/>
      <w:sz w:val="24"/>
      <w:szCs w:val="20"/>
    </w:rPr>
  </w:style>
  <w:style w:type="paragraph" w:customStyle="1" w:styleId="319">
    <w:name w:val="表格2"/>
    <w:basedOn w:val="1"/>
    <w:qFormat/>
    <w:uiPriority w:val="0"/>
    <w:pPr>
      <w:adjustRightInd w:val="0"/>
      <w:spacing w:before="60" w:after="60"/>
      <w:jc w:val="center"/>
    </w:pPr>
    <w:rPr>
      <w:rFonts w:ascii="宋体" w:hAnsi="Times New Roman" w:eastAsia="宋体" w:cs="Times New Roman"/>
      <w:color w:val="000000"/>
      <w:kern w:val="0"/>
      <w:sz w:val="24"/>
      <w:szCs w:val="20"/>
    </w:rPr>
  </w:style>
  <w:style w:type="paragraph" w:customStyle="1" w:styleId="320">
    <w:name w:val="xl47"/>
    <w:basedOn w:val="1"/>
    <w:qFormat/>
    <w:uiPriority w:val="0"/>
    <w:pPr>
      <w:widowControl/>
      <w:spacing w:before="100" w:beforeAutospacing="1" w:after="100" w:afterAutospacing="1"/>
      <w:jc w:val="center"/>
    </w:pPr>
    <w:rPr>
      <w:rFonts w:ascii="宋体" w:hAnsi="宋体" w:eastAsia="宋体" w:cs="Times New Roman"/>
      <w:kern w:val="0"/>
      <w:sz w:val="28"/>
      <w:szCs w:val="28"/>
    </w:rPr>
  </w:style>
  <w:style w:type="paragraph" w:customStyle="1" w:styleId="321">
    <w:name w:val="表格"/>
    <w:basedOn w:val="1"/>
    <w:qFormat/>
    <w:uiPriority w:val="0"/>
    <w:pPr>
      <w:jc w:val="center"/>
    </w:pPr>
    <w:rPr>
      <w:rFonts w:ascii="华文细黑" w:hAnsi="华文细黑" w:eastAsia="宋体" w:cs="Times New Roman"/>
      <w:kern w:val="0"/>
      <w:szCs w:val="20"/>
    </w:rPr>
  </w:style>
  <w:style w:type="paragraph" w:customStyle="1" w:styleId="322">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bCs/>
      <w:sz w:val="28"/>
    </w:rPr>
  </w:style>
  <w:style w:type="paragraph" w:customStyle="1" w:styleId="32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24">
    <w:name w:val="pa-2"/>
    <w:basedOn w:val="1"/>
    <w:qFormat/>
    <w:uiPriority w:val="0"/>
    <w:pPr>
      <w:widowControl/>
      <w:spacing w:line="360" w:lineRule="atLeast"/>
      <w:ind w:firstLine="420"/>
    </w:pPr>
    <w:rPr>
      <w:rFonts w:ascii="宋体" w:hAnsi="宋体" w:eastAsia="宋体" w:cs="宋体"/>
      <w:kern w:val="0"/>
      <w:sz w:val="24"/>
      <w:szCs w:val="24"/>
    </w:rPr>
  </w:style>
  <w:style w:type="paragraph" w:customStyle="1" w:styleId="325">
    <w:name w:val="样式4"/>
    <w:basedOn w:val="6"/>
    <w:qFormat/>
    <w:uiPriority w:val="0"/>
    <w:rPr>
      <w:rFonts w:eastAsia="Arial"/>
    </w:rPr>
  </w:style>
  <w:style w:type="paragraph" w:styleId="326">
    <w:name w:val="List Paragraph"/>
    <w:basedOn w:val="1"/>
    <w:qFormat/>
    <w:uiPriority w:val="0"/>
    <w:pPr>
      <w:ind w:firstLine="420" w:firstLineChars="200"/>
    </w:pPr>
    <w:rPr>
      <w:rFonts w:ascii="Calibri" w:hAnsi="Calibri" w:eastAsia="宋体" w:cs="Times New Roman"/>
    </w:rPr>
  </w:style>
  <w:style w:type="paragraph" w:customStyle="1" w:styleId="327">
    <w:name w:val="Address"/>
    <w:basedOn w:val="1"/>
    <w:next w:val="1"/>
    <w:qFormat/>
    <w:uiPriority w:val="0"/>
    <w:pPr>
      <w:widowControl/>
      <w:autoSpaceDE w:val="0"/>
      <w:autoSpaceDN w:val="0"/>
      <w:adjustRightInd w:val="0"/>
      <w:jc w:val="left"/>
    </w:pPr>
    <w:rPr>
      <w:rFonts w:ascii="Calibri" w:hAnsi="Calibri" w:eastAsia="宋体" w:cs="Times New Roman"/>
      <w:i/>
      <w:kern w:val="0"/>
      <w:sz w:val="24"/>
      <w:szCs w:val="20"/>
    </w:rPr>
  </w:style>
  <w:style w:type="paragraph" w:customStyle="1" w:styleId="328">
    <w:name w:val="格式1"/>
    <w:basedOn w:val="1"/>
    <w:qFormat/>
    <w:uiPriority w:val="0"/>
    <w:pPr>
      <w:spacing w:before="156" w:beforeLines="50"/>
      <w:jc w:val="center"/>
    </w:pPr>
    <w:rPr>
      <w:rFonts w:ascii="黑体" w:hAnsi="宋体" w:eastAsia="黑体" w:cs="Times New Roman"/>
      <w:b/>
      <w:color w:val="000000"/>
      <w:sz w:val="32"/>
      <w:szCs w:val="20"/>
    </w:rPr>
  </w:style>
  <w:style w:type="paragraph" w:customStyle="1" w:styleId="329">
    <w:name w:val="font7"/>
    <w:basedOn w:val="1"/>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330">
    <w:name w:val="H2"/>
    <w:basedOn w:val="1"/>
    <w:next w:val="1"/>
    <w:qFormat/>
    <w:uiPriority w:val="0"/>
    <w:pPr>
      <w:keepNext/>
      <w:autoSpaceDE w:val="0"/>
      <w:autoSpaceDN w:val="0"/>
      <w:adjustRightInd w:val="0"/>
      <w:spacing w:before="100" w:after="100"/>
      <w:jc w:val="left"/>
      <w:outlineLvl w:val="2"/>
    </w:pPr>
    <w:rPr>
      <w:rFonts w:ascii="Calibri" w:hAnsi="Calibri" w:eastAsia="宋体" w:cs="Times New Roman"/>
      <w:b/>
      <w:kern w:val="0"/>
      <w:sz w:val="36"/>
      <w:szCs w:val="20"/>
    </w:rPr>
  </w:style>
  <w:style w:type="paragraph" w:customStyle="1" w:styleId="331">
    <w:name w:val="标题 3_0"/>
    <w:basedOn w:val="229"/>
    <w:next w:val="229"/>
    <w:qFormat/>
    <w:uiPriority w:val="0"/>
    <w:pPr>
      <w:keepNext/>
      <w:keepLines/>
      <w:spacing w:before="120" w:after="120"/>
      <w:jc w:val="left"/>
      <w:outlineLvl w:val="1"/>
    </w:pPr>
    <w:rPr>
      <w:b/>
      <w:bCs/>
      <w:sz w:val="28"/>
      <w:szCs w:val="32"/>
    </w:rPr>
  </w:style>
  <w:style w:type="paragraph" w:customStyle="1" w:styleId="332">
    <w:name w:val="6'"/>
    <w:basedOn w:val="1"/>
    <w:qFormat/>
    <w:uiPriority w:val="0"/>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333">
    <w:name w:val="Char Char Char1 Char"/>
    <w:basedOn w:val="1"/>
    <w:qFormat/>
    <w:uiPriority w:val="0"/>
    <w:rPr>
      <w:rFonts w:ascii="Calibri" w:hAnsi="Calibri" w:eastAsia="宋体" w:cs="Times New Roman"/>
      <w:szCs w:val="20"/>
    </w:rPr>
  </w:style>
  <w:style w:type="paragraph" w:customStyle="1" w:styleId="334">
    <w:name w:val="样式 样式 宋体 + 首行缩进:  1 字符"/>
    <w:basedOn w:val="313"/>
    <w:qFormat/>
    <w:uiPriority w:val="0"/>
    <w:pPr>
      <w:spacing w:before="50" w:beforeLines="50" w:after="50" w:afterLines="50" w:line="240" w:lineRule="auto"/>
    </w:pPr>
  </w:style>
  <w:style w:type="paragraph" w:customStyle="1" w:styleId="335">
    <w:name w:val="样式3"/>
    <w:basedOn w:val="6"/>
    <w:qFormat/>
    <w:uiPriority w:val="0"/>
    <w:rPr>
      <w:rFonts w:eastAsia="Arial"/>
    </w:rPr>
  </w:style>
  <w:style w:type="paragraph" w:customStyle="1" w:styleId="336">
    <w:name w:val="pa-3"/>
    <w:basedOn w:val="1"/>
    <w:qFormat/>
    <w:uiPriority w:val="0"/>
    <w:pPr>
      <w:widowControl/>
      <w:spacing w:line="360" w:lineRule="atLeast"/>
      <w:ind w:firstLine="300"/>
    </w:pPr>
    <w:rPr>
      <w:rFonts w:ascii="宋体" w:hAnsi="宋体" w:eastAsia="宋体" w:cs="宋体"/>
      <w:kern w:val="0"/>
      <w:sz w:val="24"/>
      <w:szCs w:val="24"/>
    </w:rPr>
  </w:style>
  <w:style w:type="paragraph" w:customStyle="1" w:styleId="337">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338">
    <w:name w:val="样式1"/>
    <w:basedOn w:val="6"/>
    <w:qFormat/>
    <w:uiPriority w:val="0"/>
    <w:rPr>
      <w:rFonts w:eastAsia="Arial"/>
    </w:rPr>
  </w:style>
  <w:style w:type="paragraph" w:customStyle="1" w:styleId="339">
    <w:name w:val="正文文本 31"/>
    <w:basedOn w:val="1"/>
    <w:qFormat/>
    <w:uiPriority w:val="0"/>
    <w:pPr>
      <w:widowControl/>
      <w:spacing w:after="120" w:line="440" w:lineRule="exact"/>
      <w:ind w:firstLine="200" w:firstLineChars="200"/>
      <w:jc w:val="left"/>
    </w:pPr>
    <w:rPr>
      <w:rFonts w:ascii="Calibri" w:hAnsi="Calibri" w:eastAsia="宋体" w:cs="Times New Roman"/>
      <w:kern w:val="0"/>
      <w:sz w:val="16"/>
      <w:szCs w:val="20"/>
      <w:lang w:eastAsia="en-US"/>
    </w:rPr>
  </w:style>
  <w:style w:type="paragraph" w:customStyle="1" w:styleId="340">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341">
    <w:name w:val="myparagraph"/>
    <w:basedOn w:val="1"/>
    <w:qFormat/>
    <w:uiPriority w:val="0"/>
    <w:pPr>
      <w:widowControl/>
      <w:spacing w:before="100" w:beforeAutospacing="1" w:after="100" w:afterAutospacing="1"/>
      <w:ind w:firstLine="480"/>
      <w:jc w:val="left"/>
    </w:pPr>
    <w:rPr>
      <w:rFonts w:hint="eastAsia" w:ascii="宋体" w:hAnsi="宋体" w:eastAsia="宋体" w:cs="Times New Roman"/>
      <w:kern w:val="0"/>
      <w:sz w:val="28"/>
      <w:szCs w:val="20"/>
    </w:rPr>
  </w:style>
  <w:style w:type="paragraph" w:customStyle="1" w:styleId="342">
    <w:name w:val="金安桥正文"/>
    <w:basedOn w:val="22"/>
    <w:qFormat/>
    <w:uiPriority w:val="0"/>
    <w:pPr>
      <w:adjustRightInd w:val="0"/>
      <w:spacing w:after="0" w:line="300" w:lineRule="auto"/>
      <w:ind w:left="0" w:leftChars="0" w:firstLine="200" w:firstLineChars="200"/>
      <w:jc w:val="left"/>
    </w:pPr>
    <w:rPr>
      <w:rFonts w:ascii="Times New Roman" w:hAnsi="Times New Roman" w:eastAsia="宋体" w:cs="Times New Roman"/>
      <w:kern w:val="0"/>
      <w:sz w:val="24"/>
      <w:szCs w:val="20"/>
    </w:rPr>
  </w:style>
  <w:style w:type="paragraph" w:customStyle="1" w:styleId="343">
    <w:name w:val="H3"/>
    <w:basedOn w:val="1"/>
    <w:next w:val="1"/>
    <w:qFormat/>
    <w:uiPriority w:val="0"/>
    <w:pPr>
      <w:keepNext/>
      <w:autoSpaceDE w:val="0"/>
      <w:autoSpaceDN w:val="0"/>
      <w:adjustRightInd w:val="0"/>
      <w:spacing w:before="100" w:after="100"/>
      <w:jc w:val="left"/>
      <w:outlineLvl w:val="3"/>
    </w:pPr>
    <w:rPr>
      <w:rFonts w:ascii="Calibri" w:hAnsi="Calibri" w:eastAsia="宋体" w:cs="Times New Roman"/>
      <w:b/>
      <w:kern w:val="0"/>
      <w:sz w:val="28"/>
      <w:szCs w:val="20"/>
    </w:rPr>
  </w:style>
  <w:style w:type="paragraph" w:customStyle="1" w:styleId="344">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345">
    <w:name w:val="H1"/>
    <w:basedOn w:val="1"/>
    <w:next w:val="1"/>
    <w:qFormat/>
    <w:uiPriority w:val="0"/>
    <w:pPr>
      <w:keepNext/>
      <w:autoSpaceDE w:val="0"/>
      <w:autoSpaceDN w:val="0"/>
      <w:adjustRightInd w:val="0"/>
      <w:spacing w:before="100" w:after="100"/>
      <w:jc w:val="left"/>
      <w:outlineLvl w:val="1"/>
    </w:pPr>
    <w:rPr>
      <w:rFonts w:ascii="Calibri" w:hAnsi="Calibri" w:eastAsia="宋体" w:cs="Times New Roman"/>
      <w:b/>
      <w:kern w:val="36"/>
      <w:sz w:val="48"/>
      <w:szCs w:val="20"/>
    </w:rPr>
  </w:style>
  <w:style w:type="paragraph" w:customStyle="1" w:styleId="346">
    <w:name w:val="正文 + 黑体"/>
    <w:basedOn w:val="1"/>
    <w:qFormat/>
    <w:uiPriority w:val="0"/>
    <w:pPr>
      <w:autoSpaceDE w:val="0"/>
      <w:autoSpaceDN w:val="0"/>
      <w:adjustRightInd w:val="0"/>
      <w:jc w:val="left"/>
    </w:pPr>
    <w:rPr>
      <w:rFonts w:ascii="黑体" w:hAnsi="宋体" w:eastAsia="黑体" w:cs="TimesNewRomanPSMT"/>
      <w:kern w:val="0"/>
      <w:sz w:val="24"/>
      <w:szCs w:val="24"/>
    </w:rPr>
  </w:style>
  <w:style w:type="paragraph" w:customStyle="1" w:styleId="34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48">
    <w:name w:val="日期1"/>
    <w:basedOn w:val="1"/>
    <w:next w:val="1"/>
    <w:qFormat/>
    <w:uiPriority w:val="0"/>
    <w:pPr>
      <w:spacing w:line="440" w:lineRule="exact"/>
      <w:ind w:left="100" w:leftChars="2500" w:firstLine="200" w:firstLineChars="200"/>
    </w:pPr>
    <w:rPr>
      <w:rFonts w:ascii="Times New Roman" w:hAnsi="Times New Roman" w:eastAsia="宋体" w:cs="Times New Roman"/>
      <w:szCs w:val="24"/>
    </w:rPr>
  </w:style>
  <w:style w:type="table" w:customStyle="1" w:styleId="349">
    <w:name w:val="TableGrid"/>
    <w:qFormat/>
    <w:uiPriority w:val="0"/>
    <w:rPr>
      <w:rFonts w:ascii="等线" w:hAnsi="等线" w:eastAsia="等线"/>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11309</Words>
  <Characters>12219</Characters>
  <Lines>102</Lines>
  <Paragraphs>28</Paragraphs>
  <TotalTime>1</TotalTime>
  <ScaleCrop>false</ScaleCrop>
  <LinksUpToDate>false</LinksUpToDate>
  <CharactersWithSpaces>13350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2021-09-13T03:30:00Z</dcterms:created>
  <dc:creator>徐 靖</dc:creator>
  <cp:lastModifiedBy>罗冠群</cp:lastModifiedBy>
  <cp:lastPrinted>2021-09-10T08:20:00Z</cp:lastPrinted>
  <dcterms:modified xsi:type="dcterms:W3CDTF">2022-08-20T00:32:25Z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582CBBE3EBCD4076B52E7C5F8ABBA5CC</vt:lpwstr>
  </property>
</Properties>
</file>